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arah, Julio, Pedro, Fabiana, Bianca, Laura, Camila, Bruna, Tales e Joã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RÇAMENTO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olos – tamanhos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ianca – bl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edro –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Julio – 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runa – BL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arah – bl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Fabi  - bl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aura – BL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amila – BL 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ales – 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Joao – 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FOS SADEP (JOAO)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sponder e-mail da John Deer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EMORANDO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NTRATO PATROCINADORES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NTRATO PALESTRANT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VIDIR AREAS PATROCINIO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AMPEONATO FUTSAL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STRUTURA DA SADEP REUNIAO COLEGIAD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OLOS DACE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OGRAMAÇÃ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