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left="2098" w:firstLine="0"/>
        <w:spacing w:lineRule="auto" w:line="360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/>
          <w:smallCaps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ANEXO I - </w:t>
      </w:r>
      <w:r>
        <w:rPr>
          <w:rtl w:val="false"/>
        </w:rPr>
      </w:r>
    </w:p>
    <w:p>
      <w:pPr>
        <w:jc w:val="center"/>
        <w:spacing w:lineRule="auto" w:line="360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EDITAL Nº 014/2024 PRE/UFSM</w:t>
      </w: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  <w:shd w:val="clear" w:fill="auto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Demandas do município de Caçapava do Sul</w:t>
      </w: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Relação de possíveis Cursos a serem ofertados </w:t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color w:val="000000"/>
          <w:sz w:val="22"/>
          <w:szCs w:val="22"/>
          <w:rtl w:val="false"/>
        </w:rPr>
        <w:t xml:space="preserve">1. Sobre o Caçapava Geoparque Mundial da UNESCO:</w:t>
      </w: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00000"/>
          <w:sz w:val="22"/>
          <w:szCs w:val="22"/>
          <w:rtl w:val="false"/>
        </w:rPr>
        <w:tab/>
        <w:t xml:space="preserve">Os Geoparques são territórios reconhecidos pela UNESCO, cujos patrimônios, natural e cultural, são preservados e utilizados de forma sustentável para gerar desenvolvimento na comunidade em que se encontram. Atualmente, existem 195 Geoparques Mundiais da UNESCO em 48 países, sendo 5 no Brasil e, destes, 3 no Rio Grande do Sul. A proposta de Geoparque empodera as comunidades locais e fornece a oportunidade de construir parcerias coesas, com o objetivo comum de promover a conservação  e </w:t>
      </w:r>
      <w:r>
        <w:rPr>
          <w:rFonts w:ascii="Arial" w:hAnsi="Arial" w:cs="Arial" w:eastAsia="Arial"/>
          <w:sz w:val="22"/>
          <w:szCs w:val="22"/>
          <w:rtl w:val="false"/>
        </w:rPr>
        <w:t xml:space="preserve">preservação </w:t>
      </w:r>
      <w:r>
        <w:rPr>
          <w:rFonts w:ascii="Arial" w:hAnsi="Arial" w:cs="Arial" w:eastAsia="Arial"/>
          <w:color w:val="000000"/>
          <w:sz w:val="22"/>
          <w:szCs w:val="22"/>
          <w:rtl w:val="false"/>
        </w:rPr>
        <w:t xml:space="preserve">da natureza e sua biodiversidade e, assim, </w:t>
      </w:r>
      <w:r>
        <w:rPr>
          <w:rFonts w:ascii="Arial" w:hAnsi="Arial" w:cs="Arial" w:eastAsia="Arial"/>
          <w:sz w:val="22"/>
          <w:szCs w:val="22"/>
          <w:rtl w:val="false"/>
        </w:rPr>
        <w:t xml:space="preserve">concretizar</w:t>
      </w:r>
      <w:r>
        <w:rPr>
          <w:rFonts w:ascii="Arial" w:hAnsi="Arial" w:cs="Arial" w:eastAsia="Arial"/>
          <w:color w:val="000000"/>
          <w:sz w:val="22"/>
          <w:szCs w:val="22"/>
          <w:rtl w:val="false"/>
        </w:rPr>
        <w:t xml:space="preserve"> a criação de novas formas de crescimento social, econômico e ambiental com base nas características locais. São estabelecidos por meio de um processo que envolve todas as partes interessadas e autoridades, locais e regionais (como proprietários de terra, empresários, grupos comunitários, profissionais de turismo, prefeituras, </w:t>
      </w:r>
      <w:r>
        <w:rPr>
          <w:rFonts w:ascii="Arial" w:hAnsi="Arial" w:cs="Arial" w:eastAsia="Arial"/>
          <w:sz w:val="22"/>
          <w:szCs w:val="22"/>
          <w:rtl w:val="false"/>
        </w:rPr>
        <w:t xml:space="preserve">agricultores familiares</w:t>
      </w:r>
      <w:r>
        <w:rPr>
          <w:rFonts w:ascii="Arial" w:hAnsi="Arial" w:cs="Arial" w:eastAsia="Arial"/>
          <w:color w:val="000000"/>
          <w:sz w:val="22"/>
          <w:szCs w:val="22"/>
          <w:rtl w:val="false"/>
        </w:rPr>
        <w:t xml:space="preserve">, povos indígenas e tradicionais, organizações locais). </w:t>
      </w: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00000"/>
          <w:sz w:val="22"/>
          <w:szCs w:val="22"/>
          <w:rtl w:val="false"/>
        </w:rPr>
        <w:tab/>
        <w:t xml:space="preserve">O </w:t>
      </w:r>
      <w:r>
        <w:rPr>
          <w:rFonts w:ascii="Arial" w:hAnsi="Arial" w:cs="Arial" w:eastAsia="Arial"/>
          <w:b w:val="false"/>
          <w:color w:val="000000"/>
          <w:sz w:val="22"/>
          <w:szCs w:val="22"/>
          <w:rtl w:val="false"/>
        </w:rPr>
        <w:t xml:space="preserve">Caçapava Geoparque Mundial da UNESCO</w:t>
      </w:r>
      <w:r>
        <w:rPr>
          <w:rFonts w:ascii="Arial" w:hAnsi="Arial" w:cs="Arial" w:eastAsia="Arial"/>
          <w:b/>
          <w:color w:val="000000"/>
          <w:sz w:val="22"/>
          <w:szCs w:val="22"/>
          <w:rtl w:val="false"/>
        </w:rPr>
        <w:t xml:space="preserve"> </w:t>
      </w:r>
      <w:r>
        <w:rPr>
          <w:rFonts w:ascii="Arial" w:hAnsi="Arial" w:cs="Arial" w:eastAsia="Arial"/>
          <w:color w:val="000000"/>
          <w:sz w:val="22"/>
          <w:szCs w:val="22"/>
          <w:rtl w:val="false"/>
        </w:rPr>
        <w:t xml:space="preserve">iniciou como uma proposta estratégica da Pró-Reitoria de Extensão da Universidade Federal de Santa Maria (UFSM), inserida da Subdivisão de Geoparques. O território já possui uma trajetória por suas singularidades geológica (pré-requisito indispensável para o pleito) e, principalmente, interesse da comunidade acadêmica da UFSM em contribuir com a população desse lugar na construção de estratégias de desenvolvimento local</w:t>
      </w:r>
      <w:r>
        <w:rPr>
          <w:rFonts w:ascii="Arial" w:hAnsi="Arial" w:cs="Arial" w:eastAsia="Arial"/>
          <w:color w:val="000000"/>
          <w:sz w:val="22"/>
          <w:szCs w:val="22"/>
          <w:shd w:val="clear" w:fill="auto"/>
          <w:rtl w:val="false"/>
        </w:rPr>
        <w:t xml:space="preserve">, </w:t>
      </w:r>
      <w:r>
        <w:rPr>
          <w:rFonts w:ascii="Arial" w:hAnsi="Arial" w:cs="Arial" w:eastAsia="Arial"/>
          <w:color w:val="000000"/>
          <w:sz w:val="22"/>
          <w:szCs w:val="22"/>
          <w:highlight w:val="white"/>
          <w:rtl w:val="false"/>
        </w:rPr>
        <w:t xml:space="preserve">visando novas alternativas para a economia regional, de forma sustentável, por meio da conservação do patrimônio natural e cultural, da educação para o meio ambiente, incentivo à geração de renda, bem como ao turismo local. Tudo isso, através da apropriação do conhecimento, da capacitação da comunidade, da formação acadêmica, da pesquisa, da extensão, da intervenção e da articulação junto ao poder público local, entidades e sociedade civil organizada.</w:t>
      </w: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00000"/>
          <w:sz w:val="22"/>
          <w:szCs w:val="22"/>
          <w:rtl w:val="false"/>
        </w:rPr>
        <w:tab/>
      </w: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2. Sobre o Programa Progredir:</w:t>
      </w:r>
    </w:p>
    <w:p>
      <w:pPr>
        <w:ind w:firstLine="720"/>
        <w:jc w:val="both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Com o objetivo de promover a geração de renda, a inclusão no mundo do trabalho e a autonomia econômica das famílias inscritas no Cadastro Único, o Progredir Geoparque Caçapava, inspirado no progredir Geoparque Quarta Colônia, foi elaborado para ofertar cursos de qualificação profissional e atividades empreendedoras de cultura e de turismo associadas ao </w:t>
      </w:r>
      <w:r>
        <w:rPr>
          <w:rFonts w:ascii="Arial" w:hAnsi="Arial" w:cs="Arial" w:eastAsia="Arial"/>
          <w:b w:val="false"/>
          <w:color w:val="000000"/>
          <w:sz w:val="22"/>
          <w:szCs w:val="22"/>
          <w:rtl w:val="false"/>
        </w:rPr>
        <w:t xml:space="preserve">Caçapava Geoparque Mundial da UNESCO</w:t>
      </w:r>
      <w:r>
        <w:rPr>
          <w:rFonts w:ascii="Arial" w:hAnsi="Arial" w:cs="Arial" w:eastAsia="Arial"/>
          <w:sz w:val="22"/>
          <w:szCs w:val="22"/>
          <w:rtl w:val="false"/>
        </w:rPr>
        <w:t xml:space="preserve">. O programa do </w:t>
      </w:r>
      <w:hyperlink r:id="rId11">
        <w:r>
          <w:rPr>
            <w:rFonts w:ascii="Arial" w:hAnsi="Arial" w:cs="Arial" w:eastAsia="Arial"/>
            <w:color w:val="000000"/>
            <w:sz w:val="22"/>
            <w:szCs w:val="22"/>
            <w:highlight w:val="white"/>
            <w:u w:val="none"/>
            <w:rtl w:val="false"/>
          </w:rPr>
          <w:t xml:space="preserve">Ministério do Desenvolvimento e Assistência Social, Família e Combate à Fome</w:t>
        </w:r>
      </w:hyperlink>
      <w:r>
        <w:rPr>
          <w:rFonts w:ascii="Arial" w:hAnsi="Arial" w:cs="Arial" w:eastAsia="Arial"/>
          <w:color w:val="000001"/>
          <w:sz w:val="22"/>
          <w:szCs w:val="22"/>
          <w:rtl w:val="false"/>
        </w:rPr>
        <w:t xml:space="preserve">/Programa Progredir</w:t>
      </w:r>
      <w:r>
        <w:rPr>
          <w:rFonts w:ascii="Arial" w:hAnsi="Arial" w:cs="Arial" w:eastAsia="Arial"/>
          <w:sz w:val="22"/>
          <w:szCs w:val="22"/>
          <w:rtl w:val="false"/>
        </w:rPr>
        <w:t xml:space="preserve">, implementado pela UFSM em parceria com a Prefeitura Municipal de Caçapava do Sul e CRAS, prioriza jovens mulheres, de 18 a 29 anos, que não estudam nem trabalham e prevê a oferta de cuidadores para os/as filhos/as de 0 a 6 anos dos alunos.</w:t>
      </w: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3. Relação de possíveis cursos a serem ofertados: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ab/>
        <w:t xml:space="preserve">No âmbito do Progredir, poderão ser ofertados cursos de diversas áreas do conhecimento, preferencialmente, vinculados ao desenvolvimento de atividades afins aos arranjos produtivos locais de cultura e turismo, em consonância com o </w:t>
      </w:r>
      <w:r>
        <w:rPr>
          <w:rFonts w:ascii="Arial" w:hAnsi="Arial" w:cs="Arial" w:eastAsia="Arial"/>
          <w:b w:val="false"/>
          <w:color w:val="000000"/>
          <w:sz w:val="22"/>
          <w:szCs w:val="22"/>
          <w:rtl w:val="false"/>
        </w:rPr>
        <w:t xml:space="preserve">Caçapava Geoparque Mundial da UNESCO</w:t>
      </w:r>
      <w:r>
        <w:rPr>
          <w:rFonts w:ascii="Arial" w:hAnsi="Arial" w:cs="Arial" w:eastAsia="Arial"/>
          <w:sz w:val="22"/>
          <w:szCs w:val="22"/>
          <w:rtl w:val="false"/>
        </w:rPr>
        <w:t xml:space="preserve"> e conforme levantamento de demandas realizado no território. Serão priorizadas propostas com potencial para geração de trabalho e renda aos inscritos no CADÚNICO do território. Segue, abaixo, a relação de possíveis cursos.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tbl>
      <w:tblPr>
        <w:tblStyle w:val="Table1"/>
        <w:tblW w:w="9690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3540"/>
        <w:gridCol w:w="6150"/>
        <w:tblGridChange w:id="0">
          <w:tblGrid>
            <w:gridCol w:w="3540"/>
            <w:gridCol w:w="6150"/>
          </w:tblGrid>
        </w:tblGridChange>
      </w:tblGrid>
      <w:tr>
        <w:trPr>
          <w:cantSplit w:val="false"/>
          <w:trHeight w:val="377"/>
          <w:tblHeader w:val="false"/>
        </w:trPr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Sugestões de cursos Progredir Geoparque Caçapava</w:t>
            </w:r>
            <w:r>
              <w:rPr>
                <w:rtl w:val="false"/>
              </w:rPr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Domínio comum</w:t>
            </w: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Cultura e turismo no Geoparque Caçapava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Geoparque Caçapava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Comunicação e Línguas</w:t>
            </w: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bookmarkStart w:colFirst="0" w:colLast="0" w:id="0" w:name="_heading=h.gjdgxs"/>
            <w:bookmarkEnd w:id="0"/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Fotografia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firstLine="0"/>
              <w:jc w:val="center"/>
              <w:spacing w:lineRule="auto" w:line="240" w:after="0" w:before="0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bookmarkStart w:colFirst="0" w:colLast="0" w:id="0" w:name="_heading=h.gjdgxs"/>
            <w:bookmarkEnd w:id="0"/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Libras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firstLine="0"/>
              <w:jc w:val="center"/>
              <w:spacing w:lineRule="auto" w:line="240" w:after="0" w:before="0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bookmarkStart w:colFirst="0" w:colLast="0" w:id="0" w:name="_heading=h.gjdgxs"/>
            <w:bookmarkEnd w:id="0"/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Espanhol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firstLine="0"/>
              <w:jc w:val="center"/>
              <w:spacing w:lineRule="auto" w:line="240" w:after="0" w:before="0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bookmarkStart w:colFirst="0" w:colLast="0" w:id="0" w:name="_heading=h.gjdgxs"/>
            <w:bookmarkEnd w:id="0"/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Inglês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Informática</w:t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bookmarkStart w:colFirst="0" w:colLast="0" w:id="0" w:name="_heading=h.gjdgxs"/>
            <w:bookmarkEnd w:id="0"/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Informática básica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Turismo, Hospedagem e hotelaria</w:t>
            </w: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Camareiro/a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Recepcionista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Gestão de pequenos meios de hospedagem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Costura, Artesanato e Produtos locais</w:t>
            </w: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Oficina de bonecas de pano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Biscuit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Corte e Costura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Estamparia e serigrafia (camisetas, sacolas de presentes)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Gastronomia</w:t>
            </w: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Garçom/garçonete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Auxiliar de cozinha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Compotas de doces e rapaduras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Divulgação de frutas nativas e chás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Chapista (lanches)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restart"/>
          </w:tcPr>
          <w:p>
            <w:pPr>
              <w:jc w:val="center"/>
              <w:spacing w:lineRule="auto" w:line="276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Serviços gerais</w:t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Diarista ( serviços de limpeza, </w:t>
            </w:r>
            <w:r>
              <w:rPr>
                <w:rFonts w:ascii="Roboto" w:hAnsi="Roboto" w:cs="Roboto" w:eastAsia="Roboto"/>
                <w:sz w:val="22"/>
                <w:szCs w:val="22"/>
                <w:highlight w:val="white"/>
                <w:rtl w:val="false"/>
              </w:rPr>
              <w:t xml:space="preserve">higienização e organização de ambientes)</w:t>
            </w:r>
            <w:r>
              <w:rPr>
                <w:rtl w:val="false"/>
              </w:rPr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Serviços de manutenção (pequenos reparos, serviços hidráulicos e elétricos)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Pintura de ambientes</w:t>
            </w:r>
            <w:r>
              <w:rPr>
                <w:rtl w:val="false"/>
              </w:rPr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Eletricista predial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  <w:vMerge w:val="continu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tl w:val="fals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Marcenaria</w:t>
            </w:r>
          </w:p>
        </w:tc>
      </w:tr>
      <w:tr>
        <w:trPr>
          <w:cantSplit w:val="false"/>
          <w:trHeight w:val="377"/>
          <w:tblHeader w:val="false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ind w:left="0" w:right="0" w:firstLine="0"/>
              <w:jc w:val="center"/>
              <w:keepLines w:val="false"/>
              <w:keepNext w:val="false"/>
              <w:pageBreakBefore w:val="false"/>
              <w:spacing w:lineRule="auto" w:line="276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sz w:val="22"/>
                <w:szCs w:val="22"/>
                <w:rtl w:val="false"/>
              </w:rPr>
              <w:t xml:space="preserve">Recreação</w:t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vAlign w:val="center"/>
          </w:tcPr>
          <w:p>
            <w:pPr>
              <w:spacing w:lineRule="auto" w:line="276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  <w:rtl w:val="false"/>
              </w:rPr>
              <w:t xml:space="preserve">Recreacionista/monitora infantil</w:t>
            </w:r>
          </w:p>
        </w:tc>
      </w:tr>
    </w:tbl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Roboto">
    <w:panose1 w:val="020E0502030303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color w:val="000000"/>
      </w:rP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color w:val="000000"/>
      </w:rP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36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Times New Roman" w:hAnsi="Times New Roman" w:cs="Times New Roman" w:eastAsia="Times New Roman"/>
        <w:b/>
        <w:color w:val="000000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 w:firstLine="0"/>
      <w:widowControl/>
      <w:rPr>
        <w:rFonts w:ascii="Arial" w:hAnsi="Arial" w:cs="Arial" w:eastAsia="Arial"/>
        <w:sz w:val="20"/>
        <w:szCs w:val="20"/>
      </w:rPr>
    </w:pPr>
    <w:r>
      <w:rPr>
        <w:rFonts w:ascii="Arial" w:hAnsi="Arial" w:cs="Arial" w:eastAsia="Arial"/>
        <w:sz w:val="20"/>
        <w:szCs w:val="2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7" r="-39" b="-75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0pt;mso-position-horizontal:absolute;mso-position-vertical-relative:text;margin-top:0.0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0"/>
        <w:szCs w:val="20"/>
        <w:rtl w:val="false"/>
      </w:rPr>
      <w:t xml:space="preserve">Universidade Federal de Santa Maria</w:t>
      <w:br/>
      <w:t xml:space="preserve">Pró-Reitoria de Extensão</w:t>
      <w:br/>
      <w:t xml:space="preserve">Desenvolvimento Regional</w:t>
    </w: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jc w:val="center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BR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character" w:styleId="12">
    <w:name w:val="Heading 1 Char"/>
    <w:basedOn w:val="692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2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2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2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2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92"/>
    <w:link w:val="696"/>
    <w:uiPriority w:val="10"/>
    <w:rPr>
      <w:sz w:val="48"/>
      <w:szCs w:val="48"/>
    </w:rPr>
  </w:style>
  <w:style w:type="character" w:styleId="35">
    <w:name w:val="Subtitle Char"/>
    <w:basedOn w:val="692"/>
    <w:link w:val="720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2"/>
    <w:link w:val="714"/>
    <w:uiPriority w:val="99"/>
  </w:style>
  <w:style w:type="character" w:styleId="43">
    <w:name w:val="Footer Char"/>
    <w:basedOn w:val="692"/>
    <w:link w:val="713"/>
    <w:uiPriority w:val="99"/>
  </w:style>
  <w:style w:type="character" w:styleId="45">
    <w:name w:val="Caption Char"/>
    <w:basedOn w:val="708"/>
    <w:link w:val="713"/>
    <w:uiPriority w:val="99"/>
  </w:style>
  <w:style w:type="table" w:styleId="46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00" w:themeColor="accent1" w:theme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76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77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78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79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00" w:themeColor="accent1" w:themeTint="00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89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90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9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92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93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4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5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</w:style>
  <w:style w:type="table" w:styleId="96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left w:val="single" w:color="000000" w:sz="4" w:space="0" w:themeColor="accen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 w:themeTint="00"/>
          <w:right w:val="none" w:sz="0" w:space="0"/>
          <w:bottom w:val="none" w:sz="0" w:space="0"/>
        </w:tcBorders>
      </w:tcPr>
    </w:tblStylePr>
  </w:style>
  <w:style w:type="table" w:styleId="97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</w:style>
  <w:style w:type="table" w:styleId="98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</w:style>
  <w:style w:type="table" w:styleId="99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</w:style>
  <w:style w:type="table" w:styleId="100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</w:style>
  <w:style w:type="table" w:styleId="10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</w:style>
  <w:style w:type="table" w:styleId="102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110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11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112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113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114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115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116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00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00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00" w:themeColor="text1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00" w:themeColor="text1" w:theme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00" w:themeColor="accent2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00" w:themeColor="accent2" w:theme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00" w:themeColor="accent3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00" w:themeColor="accent3" w:theme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00" w:themeColor="accent4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00" w:themeColor="accent4" w:theme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00" w:themeColor="accent5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00" w:themeColor="accent5" w:theme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00" w:themeColor="accent6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00" w:themeColor="accent6" w:theme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138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140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14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142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143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144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145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/>
          <w:bottom w:val="none" w:sz="0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left w:val="single" w:color="000000" w:sz="4" w:space="0" w:themeColor="accent1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146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147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148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149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150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151">
    <w:name w:val="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2">
    <w:name w:val="Lined - Accent 1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53">
    <w:name w:val="Lined - Accent 2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54">
    <w:name w:val="Lined - Accent 3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55">
    <w:name w:val="Lined - Accent 4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56">
    <w:name w:val="Lined - Accent 5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9">
    <w:name w:val="Bordered &amp; Lined - Accent 1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60">
    <w:name w:val="Bordered &amp; Lined - Accent 2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61">
    <w:name w:val="Bordered &amp; Lined - Accent 3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62">
    <w:name w:val="Bordered &amp; Lined - Accent 4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63">
    <w:name w:val="Bordered &amp; Lined - Accent 5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166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168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169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170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17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character" w:styleId="174">
    <w:name w:val="Footnote Text Char"/>
    <w:link w:val="712"/>
    <w:uiPriority w:val="99"/>
    <w:rPr>
      <w:sz w:val="18"/>
    </w:rPr>
  </w:style>
  <w:style w:type="paragraph" w:styleId="176">
    <w:name w:val="endnote text"/>
    <w:basedOn w:val="68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78">
    <w:name w:val="Heading 1"/>
    <w:basedOn w:val="685"/>
    <w:next w:val="685"/>
    <w:rPr>
      <w:b/>
      <w:sz w:val="48"/>
      <w:szCs w:val="48"/>
    </w:rPr>
    <w:pPr>
      <w:keepLines/>
      <w:keepNext/>
      <w:spacing w:after="120" w:before="480"/>
    </w:pPr>
  </w:style>
  <w:style w:type="paragraph" w:styleId="679">
    <w:name w:val="Heading 2"/>
    <w:basedOn w:val="685"/>
    <w:next w:val="685"/>
    <w:rPr>
      <w:b/>
      <w:sz w:val="36"/>
      <w:szCs w:val="36"/>
    </w:rPr>
    <w:pPr>
      <w:keepLines/>
      <w:keepNext/>
      <w:spacing w:after="80" w:before="360"/>
    </w:pPr>
  </w:style>
  <w:style w:type="paragraph" w:styleId="680">
    <w:name w:val="Heading 3"/>
    <w:basedOn w:val="685"/>
    <w:next w:val="685"/>
    <w:rPr>
      <w:b/>
      <w:sz w:val="28"/>
      <w:szCs w:val="28"/>
    </w:rPr>
    <w:pPr>
      <w:keepLines/>
      <w:keepNext/>
      <w:spacing w:after="80" w:before="280"/>
    </w:pPr>
  </w:style>
  <w:style w:type="paragraph" w:styleId="681">
    <w:name w:val="Heading 4"/>
    <w:basedOn w:val="685"/>
    <w:next w:val="685"/>
    <w:rPr>
      <w:b/>
    </w:rPr>
    <w:pPr>
      <w:keepLines/>
      <w:keepNext/>
      <w:spacing w:after="40" w:before="240"/>
    </w:pPr>
  </w:style>
  <w:style w:type="paragraph" w:styleId="682">
    <w:name w:val="Heading 5"/>
    <w:basedOn w:val="685"/>
    <w:next w:val="685"/>
    <w:rPr>
      <w:b/>
      <w:sz w:val="22"/>
      <w:szCs w:val="22"/>
    </w:rPr>
    <w:pPr>
      <w:keepLines/>
      <w:keepNext/>
      <w:spacing w:after="40" w:before="220"/>
    </w:pPr>
  </w:style>
  <w:style w:type="paragraph" w:styleId="683">
    <w:name w:val="Heading 6"/>
    <w:basedOn w:val="685"/>
    <w:next w:val="685"/>
    <w:rPr>
      <w:b/>
      <w:sz w:val="20"/>
      <w:szCs w:val="20"/>
    </w:rPr>
    <w:pPr>
      <w:keepLines/>
      <w:keepNext/>
      <w:spacing w:after="40" w:before="200"/>
    </w:pPr>
  </w:style>
  <w:style w:type="paragraph" w:styleId="684">
    <w:name w:val="Title"/>
    <w:basedOn w:val="685"/>
    <w:next w:val="685"/>
    <w:rPr>
      <w:b/>
      <w:sz w:val="72"/>
      <w:szCs w:val="72"/>
    </w:rPr>
    <w:pPr>
      <w:keepLines/>
      <w:keepNext/>
      <w:spacing w:after="120" w:before="480"/>
    </w:pPr>
  </w:style>
  <w:style w:type="paragraph" w:styleId="685" w:default="1">
    <w:name w:val="Normal"/>
    <w:qFormat/>
    <w:rPr>
      <w:rFonts w:cs="Mangal" w:eastAsia="SimSun"/>
      <w:lang w:bidi="hi-IN" w:eastAsia="zh-CN"/>
    </w:rPr>
  </w:style>
  <w:style w:type="paragraph" w:styleId="686">
    <w:name w:val="Heading 1"/>
    <w:basedOn w:val="685"/>
    <w:next w:val="685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87">
    <w:name w:val="Heading 2"/>
    <w:basedOn w:val="685"/>
    <w:next w:val="685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88">
    <w:name w:val="Heading 3"/>
    <w:basedOn w:val="685"/>
    <w:next w:val="685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89">
    <w:name w:val="Heading 4"/>
    <w:basedOn w:val="685"/>
    <w:next w:val="685"/>
    <w:qFormat/>
    <w:uiPriority w:val="9"/>
    <w:semiHidden/>
    <w:unhideWhenUsed/>
    <w:rPr>
      <w:b/>
    </w:rPr>
    <w:pPr>
      <w:keepLines/>
      <w:keepNext/>
      <w:spacing w:after="40" w:before="240"/>
      <w:outlineLvl w:val="3"/>
    </w:pPr>
  </w:style>
  <w:style w:type="paragraph" w:styleId="690">
    <w:name w:val="Heading 5"/>
    <w:basedOn w:val="685"/>
    <w:next w:val="685"/>
    <w:qFormat/>
    <w:uiPriority w:val="9"/>
    <w:semiHidden/>
    <w:unhideWhenUsed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691">
    <w:name w:val="Heading 6"/>
    <w:basedOn w:val="685"/>
    <w:next w:val="685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table" w:styleId="6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6">
    <w:name w:val="Title"/>
    <w:basedOn w:val="685"/>
    <w:next w:val="685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table" w:styleId="69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98" w:customStyle="1">
    <w:name w:val="Caracteres de nota de rodapé"/>
  </w:style>
  <w:style w:type="character" w:styleId="699">
    <w:name w:val="footnote reference"/>
    <w:rPr>
      <w:vertAlign w:val="superscript"/>
    </w:rPr>
  </w:style>
  <w:style w:type="character" w:styleId="700" w:customStyle="1">
    <w:name w:val="Caracteres de nota de fim"/>
    <w:rPr>
      <w:vertAlign w:val="superscript"/>
    </w:rPr>
  </w:style>
  <w:style w:type="character" w:styleId="701" w:customStyle="1">
    <w:name w:val="WW-Caracteres de nota de fim"/>
  </w:style>
  <w:style w:type="character" w:styleId="702">
    <w:name w:val="endnote reference"/>
    <w:rPr>
      <w:vertAlign w:val="superscript"/>
    </w:rPr>
  </w:style>
  <w:style w:type="character" w:styleId="703" w:customStyle="1">
    <w:name w:val="Fonte parág. padrão1"/>
  </w:style>
  <w:style w:type="character" w:styleId="704">
    <w:name w:val="Hyperlink"/>
    <w:rPr>
      <w:color w:val="0000FF"/>
      <w:u w:val="single"/>
    </w:rPr>
  </w:style>
  <w:style w:type="paragraph" w:styleId="705" w:customStyle="1">
    <w:name w:val="Título1"/>
    <w:basedOn w:val="685"/>
    <w:next w:val="706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706">
    <w:name w:val="Body Text"/>
    <w:basedOn w:val="685"/>
    <w:pPr>
      <w:spacing w:lineRule="auto" w:line="288" w:after="140"/>
    </w:pPr>
  </w:style>
  <w:style w:type="paragraph" w:styleId="707">
    <w:name w:val="List"/>
    <w:basedOn w:val="706"/>
  </w:style>
  <w:style w:type="paragraph" w:styleId="708">
    <w:name w:val="Caption"/>
    <w:basedOn w:val="685"/>
    <w:qFormat/>
    <w:rPr>
      <w:i/>
      <w:iCs/>
    </w:rPr>
    <w:pPr>
      <w:spacing w:after="120" w:before="120"/>
      <w:suppressLineNumbers/>
    </w:pPr>
  </w:style>
  <w:style w:type="paragraph" w:styleId="709" w:customStyle="1">
    <w:name w:val="Índice"/>
    <w:basedOn w:val="685"/>
    <w:pPr>
      <w:suppressLineNumbers/>
    </w:pPr>
  </w:style>
  <w:style w:type="paragraph" w:styleId="710" w:customStyle="1">
    <w:name w:val="Conteúdo da tabela"/>
    <w:basedOn w:val="685"/>
    <w:pPr>
      <w:suppressLineNumbers/>
    </w:pPr>
  </w:style>
  <w:style w:type="paragraph" w:styleId="711" w:customStyle="1">
    <w:name w:val="Título de tabela"/>
    <w:basedOn w:val="710"/>
    <w:rPr>
      <w:b/>
      <w:bCs/>
    </w:rPr>
    <w:pPr>
      <w:jc w:val="center"/>
    </w:pPr>
  </w:style>
  <w:style w:type="paragraph" w:styleId="712">
    <w:name w:val="footnote text"/>
    <w:basedOn w:val="685"/>
    <w:rPr>
      <w:sz w:val="20"/>
      <w:szCs w:val="20"/>
    </w:rPr>
    <w:pPr>
      <w:ind w:left="339" w:hanging="339"/>
      <w:suppressLineNumbers/>
    </w:pPr>
  </w:style>
  <w:style w:type="paragraph" w:styleId="713">
    <w:name w:val="Footer"/>
    <w:basedOn w:val="685"/>
    <w:pPr>
      <w:tabs>
        <w:tab w:val="center" w:pos="4819" w:leader="none"/>
        <w:tab w:val="right" w:pos="9638" w:leader="none"/>
      </w:tabs>
      <w:suppressLineNumbers/>
    </w:pPr>
  </w:style>
  <w:style w:type="paragraph" w:styleId="714">
    <w:name w:val="Header"/>
    <w:basedOn w:val="685"/>
    <w:pPr>
      <w:tabs>
        <w:tab w:val="center" w:pos="4819" w:leader="none"/>
        <w:tab w:val="right" w:pos="9638" w:leader="none"/>
      </w:tabs>
      <w:suppressLineNumbers/>
    </w:pPr>
  </w:style>
  <w:style w:type="paragraph" w:styleId="715" w:customStyle="1">
    <w:name w:val="Default"/>
    <w:rPr>
      <w:rFonts w:cs="Mangal" w:eastAsia="SimSun"/>
      <w:color w:val="000000"/>
      <w:lang w:bidi="hi-IN" w:eastAsia="zh-CN"/>
    </w:rPr>
  </w:style>
  <w:style w:type="paragraph" w:styleId="716" w:customStyle="1">
    <w:name w:val="Corpo A"/>
    <w:rPr>
      <w:rFonts w:eastAsia="Arial Unicode MS"/>
      <w:lang w:eastAsia="zh-CN"/>
    </w:rPr>
    <w:pPr>
      <w:jc w:val="both"/>
      <w:spacing w:lineRule="auto" w:line="360"/>
    </w:pPr>
  </w:style>
  <w:style w:type="paragraph" w:styleId="717">
    <w:name w:val="Subtitle"/>
    <w:basedOn w:val="685"/>
    <w:next w:val="685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718" w:customStyle="1">
    <w:name w:val="StGen0"/>
    <w:basedOn w:val="697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719" w:customStyle="1">
    <w:name w:val="StGen1"/>
    <w:basedOn w:val="697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720">
    <w:name w:val="Subtitle"/>
    <w:basedOn w:val="685"/>
    <w:next w:val="685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721">
    <w:name w:val="StGen2"/>
    <w:basedOn w:val="69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gov.br/mds/pt-br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suFeh3cM0FEy+73JJnd4PihpA==">CgMxLjAyCGguZ2pkZ3hzMghoLmdqZGd4czIIaC5namRneHMyCGguZ2pkZ3hzMghoLmdqZGd4czgAciExZEpmcFRLM0prQzd2M2REOS1ldmQyQmFUaFBYV1duQnc=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2022-08-31T12:28:00Z</dcterms:created>
</cp:coreProperties>
</file>