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219E" w14:textId="0FDC52FD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RESOLUÇÃO UFSM N</w:t>
      </w:r>
      <w:r>
        <w:rPr>
          <w:rFonts w:ascii="Calibri" w:eastAsia="Calibri" w:hAnsi="Calibri" w:cs="Calibri"/>
          <w:sz w:val="24"/>
          <w:szCs w:val="24"/>
        </w:rPr>
        <w:t>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0XX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DE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XXXXX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>X</w:t>
      </w:r>
    </w:p>
    <w:p w14:paraId="2107A1E9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DB36B2" w14:textId="77777777" w:rsidR="00FD3766" w:rsidRDefault="00F07949" w:rsidP="00FF296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Chars="2550" w:left="5102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Estabelece/Define/Aprova .... no âmbito da Universidade Federal de Santa Maria (UFSM).</w:t>
      </w:r>
    </w:p>
    <w:p w14:paraId="40CE1658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D3BF2FA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O REITOR DA UNIVERSIDADE FEDERAL DE SANTA MARIA, no uso de suas atribuições legais que lhe confere o art. 30 do Estatuto da Universidade Federal de Santa Maria com as adequações aprovadas pela Resolução UFSM n° 037, de 30 de novembro de 2010, aprovado pela Portaria n° 156, de 12 de março de 2014, e publicado no Diário Oficial da União em 13 de março de 2014, tendo em vista xxxxx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(A COPLAD incluirá neste campo a(s) normativas principais e/ou motivação para a criação do ato baseado no que foi listado no memorando de abertura do processo, conforme orientação do decreto 12.002/2024)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o que consta no Processo n° </w:t>
      </w:r>
      <w:r>
        <w:rPr>
          <w:rFonts w:ascii="Calibri" w:eastAsia="Calibri" w:hAnsi="Calibri" w:cs="Calibri"/>
          <w:color w:val="FF0000"/>
          <w:sz w:val="24"/>
          <w:szCs w:val="24"/>
        </w:rPr>
        <w:t>23081.XXXXXX/202X-XX</w:t>
      </w:r>
      <w:r>
        <w:rPr>
          <w:rFonts w:ascii="Calibri" w:eastAsia="Calibri" w:hAnsi="Calibri" w:cs="Calibri"/>
          <w:color w:val="000000"/>
          <w:sz w:val="24"/>
          <w:szCs w:val="24"/>
        </w:rPr>
        <w:t>, resolve:</w:t>
      </w:r>
    </w:p>
    <w:p w14:paraId="3FE545D3" w14:textId="77777777" w:rsidR="00FD3766" w:rsidRDefault="00FD37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59B483CC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Art. 1°  </w:t>
      </w:r>
      <w:r>
        <w:rPr>
          <w:rFonts w:ascii="Calibri" w:eastAsia="Calibri" w:hAnsi="Calibri" w:cs="Calibri"/>
          <w:color w:val="FF0000"/>
          <w:sz w:val="24"/>
          <w:szCs w:val="24"/>
        </w:rPr>
        <w:t>Estabelecer/Define/Aprovar .... no âmbito da Universidade Federal de Santa Maria (UFSM).</w:t>
      </w:r>
    </w:p>
    <w:p w14:paraId="7D310245" w14:textId="77777777" w:rsidR="00FD3766" w:rsidRDefault="00F07949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6"/>
        </w:tabs>
        <w:spacing w:after="120" w:line="240" w:lineRule="auto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CRIAR CAPÍTULOS e Seções necessárias para a melhor redação</w:t>
      </w:r>
    </w:p>
    <w:p w14:paraId="62508BB9" w14:textId="55ADE768" w:rsidR="00FD3766" w:rsidRPr="00296EFA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296EFA">
        <w:rPr>
          <w:rFonts w:ascii="Calibri" w:eastAsia="Calibri" w:hAnsi="Calibri" w:cs="Calibri"/>
          <w:sz w:val="24"/>
          <w:szCs w:val="24"/>
        </w:rPr>
        <w:t xml:space="preserve">Art. 2°  </w:t>
      </w:r>
      <w:r w:rsidR="00221007" w:rsidRPr="00296EFA">
        <w:rPr>
          <w:rFonts w:ascii="Calibri" w:eastAsia="Calibri" w:hAnsi="Calibri" w:cs="Calibri"/>
          <w:sz w:val="24"/>
          <w:szCs w:val="24"/>
        </w:rPr>
        <w:t>…</w:t>
      </w:r>
      <w:r w:rsidRPr="00296EFA">
        <w:rPr>
          <w:rFonts w:ascii="Calibri" w:eastAsia="Calibri" w:hAnsi="Calibri" w:cs="Calibri"/>
          <w:sz w:val="24"/>
          <w:szCs w:val="24"/>
        </w:rPr>
        <w:t xml:space="preserve"> </w:t>
      </w:r>
    </w:p>
    <w:p w14:paraId="470D3064" w14:textId="18689CA0" w:rsidR="00FD3766" w:rsidRPr="00296EFA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296EFA">
        <w:rPr>
          <w:rFonts w:ascii="Calibri" w:eastAsia="Calibri" w:hAnsi="Calibri" w:cs="Calibri"/>
          <w:sz w:val="24"/>
          <w:szCs w:val="24"/>
        </w:rPr>
        <w:t xml:space="preserve">Art. 3° </w:t>
      </w:r>
      <w:r w:rsidR="00221007" w:rsidRPr="00296EFA">
        <w:rPr>
          <w:rFonts w:ascii="Calibri" w:eastAsia="Calibri" w:hAnsi="Calibri" w:cs="Calibri"/>
          <w:sz w:val="24"/>
          <w:szCs w:val="24"/>
        </w:rPr>
        <w:t xml:space="preserve"> …</w:t>
      </w:r>
    </w:p>
    <w:p w14:paraId="7507B6F4" w14:textId="77777777" w:rsidR="00221007" w:rsidRPr="00296EFA" w:rsidRDefault="00221007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1726D7F5" w14:textId="7C3D3B54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 partir do 9° artigo remover ° e seguir numeração com ponto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 xml:space="preserve"> (.) </w:t>
      </w:r>
      <w:r>
        <w:rPr>
          <w:rFonts w:ascii="Calibri" w:eastAsia="Calibri" w:hAnsi="Calibri" w:cs="Calibri"/>
          <w:color w:val="FF0000"/>
          <w:sz w:val="24"/>
          <w:szCs w:val="24"/>
        </w:rPr>
        <w:t>)</w:t>
      </w:r>
    </w:p>
    <w:p w14:paraId="48379703" w14:textId="26889FC3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Art</w:t>
      </w:r>
      <w:r w:rsidR="0022100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10.. </w:t>
      </w:r>
    </w:p>
    <w:p w14:paraId="17A93319" w14:textId="77777777" w:rsidR="00FD3766" w:rsidRDefault="00FD376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</w:p>
    <w:p w14:paraId="5119F3DD" w14:textId="2021F9A6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xx.</w:t>
      </w:r>
      <w:r>
        <w:rPr>
          <w:rFonts w:ascii="Calibri" w:eastAsia="Calibri" w:hAnsi="Calibri" w:cs="Calibri"/>
          <w:sz w:val="24"/>
          <w:szCs w:val="24"/>
        </w:rPr>
        <w:t xml:space="preserve">  Ficam alterados os </w:t>
      </w:r>
      <w:r w:rsidR="00221007">
        <w:rPr>
          <w:rFonts w:ascii="Calibri" w:eastAsia="Calibri" w:hAnsi="Calibri" w:cs="Calibri"/>
          <w:sz w:val="24"/>
          <w:szCs w:val="24"/>
        </w:rPr>
        <w:t xml:space="preserve">.. </w:t>
      </w:r>
      <w:r>
        <w:rPr>
          <w:rFonts w:ascii="Calibri" w:eastAsia="Calibri" w:hAnsi="Calibri" w:cs="Calibri"/>
          <w:sz w:val="24"/>
          <w:szCs w:val="24"/>
        </w:rPr>
        <w:t>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inserir alterações necessárias em outros atos, conforme instruções contidas no 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>D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 xml:space="preserve">ecreto </w:t>
      </w:r>
      <w:r w:rsidR="00221007">
        <w:rPr>
          <w:rFonts w:ascii="Calibri" w:eastAsia="Calibri" w:hAnsi="Calibri" w:cs="Calibri"/>
          <w:color w:val="FF0000"/>
          <w:sz w:val="24"/>
          <w:szCs w:val="24"/>
        </w:rPr>
        <w:t xml:space="preserve">nº 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12.002/2024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BAD3E73" w14:textId="52732614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2" w:name="_heading=h.5xn3ku1d307s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>.  Fica(m) revogado(s) os (</w:t>
      </w:r>
      <w:r w:rsidRPr="00221007">
        <w:rPr>
          <w:rFonts w:ascii="Calibri" w:eastAsia="Calibri" w:hAnsi="Calibri" w:cs="Calibri"/>
          <w:color w:val="FF0000"/>
          <w:sz w:val="24"/>
          <w:szCs w:val="24"/>
        </w:rPr>
        <w:t>inserir atos que serão revogados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041A175" w14:textId="77777777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(Arrolar todas as Resolução/Portarias/Instruções Normativas e/ou Artigos/Parágrafos/Incisos/alíneas específicos de Resolução/Portarias/Instruções Normativas, se for o caso, que devam ser revogados a partir da emissão desta Resolução).</w:t>
      </w:r>
    </w:p>
    <w:p w14:paraId="20DC040F" w14:textId="77777777" w:rsidR="00FD3766" w:rsidRDefault="00FD3766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3948559" w14:textId="77777777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A inobservância ao disposto nesta Resolução não constitui escusa válida para o descumprimento da norma nem resulta em sua invalidade. </w:t>
      </w:r>
    </w:p>
    <w:p w14:paraId="63CC6F43" w14:textId="67A6AC4A" w:rsidR="00FD3766" w:rsidRDefault="00F07949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4" w:name="_heading=h.3znysh7" w:colFirst="0" w:colLast="0"/>
      <w:bookmarkStart w:id="5" w:name="_Hlk174611198"/>
      <w:bookmarkEnd w:id="4"/>
      <w:r>
        <w:rPr>
          <w:rFonts w:ascii="Calibri" w:eastAsia="Calibri" w:hAnsi="Calibri" w:cs="Calibri"/>
          <w:sz w:val="24"/>
          <w:szCs w:val="24"/>
        </w:rPr>
        <w:t xml:space="preserve">Art. </w:t>
      </w:r>
      <w:r>
        <w:rPr>
          <w:rFonts w:ascii="Calibri" w:eastAsia="Calibri" w:hAnsi="Calibri" w:cs="Calibri"/>
          <w:color w:val="FF0000"/>
          <w:sz w:val="24"/>
          <w:szCs w:val="24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. Esta Resolução entra em vigor na data de sua </w:t>
      </w:r>
      <w:r w:rsidR="009B2AC8">
        <w:rPr>
          <w:rFonts w:ascii="Calibri" w:eastAsia="Calibri" w:hAnsi="Calibri" w:cs="Calibri"/>
          <w:sz w:val="24"/>
          <w:szCs w:val="24"/>
        </w:rPr>
        <w:t>publicação</w:t>
      </w:r>
      <w:r w:rsidR="00C41B4D">
        <w:rPr>
          <w:rFonts w:ascii="Calibri" w:eastAsia="Calibri" w:hAnsi="Calibri" w:cs="Calibri"/>
          <w:sz w:val="24"/>
          <w:szCs w:val="24"/>
        </w:rPr>
        <w:t xml:space="preserve"> (</w:t>
      </w:r>
      <w:r w:rsidR="00C41B4D" w:rsidRPr="00C41B4D">
        <w:rPr>
          <w:rFonts w:ascii="Calibri" w:eastAsia="Calibri" w:hAnsi="Calibri" w:cs="Calibri"/>
          <w:color w:val="FF0000"/>
          <w:sz w:val="24"/>
          <w:szCs w:val="24"/>
        </w:rPr>
        <w:t xml:space="preserve">ou definir </w:t>
      </w:r>
      <w:r w:rsidR="00C41B4D">
        <w:rPr>
          <w:rFonts w:ascii="Calibri" w:eastAsia="Calibri" w:hAnsi="Calibri" w:cs="Calibri"/>
          <w:color w:val="FF0000"/>
          <w:sz w:val="24"/>
          <w:szCs w:val="24"/>
        </w:rPr>
        <w:t xml:space="preserve">uma </w:t>
      </w:r>
      <w:r w:rsidR="00C41B4D" w:rsidRPr="00C41B4D">
        <w:rPr>
          <w:rFonts w:ascii="Calibri" w:eastAsia="Calibri" w:hAnsi="Calibri" w:cs="Calibri"/>
          <w:color w:val="FF0000"/>
          <w:sz w:val="24"/>
          <w:szCs w:val="24"/>
        </w:rPr>
        <w:t>data</w:t>
      </w:r>
      <w:r w:rsidR="00C41B4D">
        <w:rPr>
          <w:rFonts w:ascii="Calibri" w:eastAsia="Calibri" w:hAnsi="Calibri" w:cs="Calibri"/>
          <w:color w:val="FF0000"/>
          <w:sz w:val="24"/>
          <w:szCs w:val="24"/>
        </w:rPr>
        <w:t xml:space="preserve"> específica</w:t>
      </w:r>
      <w:r w:rsidR="00C41B4D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de acordo com o que prevê o Decreto n° 12.002, de 22 de abril de 2024</w:t>
      </w:r>
      <w:r w:rsidR="00C41B4D">
        <w:rPr>
          <w:rFonts w:ascii="Calibri" w:eastAsia="Calibri" w:hAnsi="Calibri" w:cs="Calibri"/>
          <w:sz w:val="24"/>
          <w:szCs w:val="24"/>
        </w:rPr>
        <w:t>, art. 18</w:t>
      </w:r>
      <w:r w:rsidR="009B2AC8">
        <w:rPr>
          <w:rFonts w:ascii="Calibri" w:eastAsia="Calibri" w:hAnsi="Calibri" w:cs="Calibri"/>
          <w:sz w:val="24"/>
          <w:szCs w:val="24"/>
        </w:rPr>
        <w:t>, IV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(se houver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vacatio legis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- justificar motivo do período entre a data da assinatura e o início de sua vigência</w:t>
      </w:r>
      <w:r w:rsidR="00296EFA">
        <w:rPr>
          <w:rFonts w:ascii="Calibri" w:eastAsia="Calibri" w:hAnsi="Calibri" w:cs="Calibri"/>
          <w:color w:val="FF0000"/>
          <w:sz w:val="24"/>
          <w:szCs w:val="24"/>
        </w:rPr>
        <w:t>, conforme Decreto nº 12.002, Art. 17, Parágrafo Único</w:t>
      </w:r>
      <w:r>
        <w:rPr>
          <w:rFonts w:ascii="Calibri" w:eastAsia="Calibri" w:hAnsi="Calibri" w:cs="Calibri"/>
          <w:color w:val="FF0000"/>
          <w:sz w:val="24"/>
          <w:szCs w:val="24"/>
        </w:rPr>
        <w:t>).</w:t>
      </w:r>
    </w:p>
    <w:bookmarkEnd w:id="5"/>
    <w:p w14:paraId="27F41790" w14:textId="5A8D6F0A" w:rsidR="00BA1C4F" w:rsidRDefault="00BA1C4F">
      <w:pPr>
        <w:shd w:val="clear" w:color="auto" w:fill="FFFFFF"/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r w:rsidRPr="00BA1C4F">
        <w:rPr>
          <w:rFonts w:ascii="Calibri" w:eastAsia="Calibri" w:hAnsi="Calibri" w:cs="Calibri"/>
          <w:sz w:val="24"/>
          <w:szCs w:val="24"/>
        </w:rPr>
        <w:lastRenderedPageBreak/>
        <w:t>Parágrafo único. Na ocorrência de modificações legislativas ou situações legais que afetem a validade desta Resolução, as novas disposições serão aplicadas imediatamente.</w:t>
      </w:r>
    </w:p>
    <w:p w14:paraId="0D996682" w14:textId="0DCE3CA9" w:rsidR="00FD3766" w:rsidRDefault="00FD3766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  <w:bookmarkStart w:id="6" w:name="_heading=h.f9188s6ylw2a" w:colFirst="0" w:colLast="0"/>
      <w:bookmarkEnd w:id="6"/>
    </w:p>
    <w:p w14:paraId="50FE43F9" w14:textId="77777777" w:rsidR="00FD3766" w:rsidRDefault="00F07949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Luciano Schuch</w:t>
      </w:r>
    </w:p>
    <w:p w14:paraId="45827605" w14:textId="77777777" w:rsidR="00FD3766" w:rsidRDefault="00F07949">
      <w:pPr>
        <w:spacing w:after="120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Reitor</w:t>
      </w:r>
    </w:p>
    <w:p w14:paraId="38F675C8" w14:textId="77777777" w:rsidR="00FD3766" w:rsidRPr="005067A6" w:rsidRDefault="00FD3766">
      <w:pPr>
        <w:tabs>
          <w:tab w:val="left" w:pos="4215"/>
        </w:tabs>
        <w:spacing w:after="120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4480B722" w14:textId="77777777" w:rsidR="00A45547" w:rsidRDefault="00A45547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INSTRUÇÕES GERAIS (REMOVER ESSE TEXTO DA MINUTA APÓS FINALIZAÇÃO):</w:t>
      </w:r>
    </w:p>
    <w:p w14:paraId="18FE60FB" w14:textId="77777777" w:rsidR="00A45547" w:rsidRPr="005067A6" w:rsidRDefault="00A45547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71DB378D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01EF092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 xml:space="preserve">Excluir da formatação final da minuta as observações/orientações que estão entre parênteses e destacadas em </w:t>
      </w:r>
      <w:r w:rsidRPr="005067A6">
        <w:rPr>
          <w:rFonts w:ascii="Calibri" w:eastAsia="Calibri" w:hAnsi="Calibri" w:cs="Calibri"/>
          <w:b/>
          <w:color w:val="FF0000"/>
          <w:sz w:val="24"/>
          <w:szCs w:val="24"/>
        </w:rPr>
        <w:t>vermelho</w:t>
      </w:r>
      <w:r w:rsidRPr="005067A6">
        <w:rPr>
          <w:rFonts w:ascii="Calibri" w:eastAsia="Calibri" w:hAnsi="Calibri" w:cs="Calibri"/>
          <w:b/>
          <w:sz w:val="24"/>
          <w:szCs w:val="24"/>
        </w:rPr>
        <w:t xml:space="preserve"> ou </w:t>
      </w:r>
      <w:r w:rsidRPr="005067A6">
        <w:rPr>
          <w:rFonts w:ascii="Calibri" w:eastAsia="Calibri" w:hAnsi="Calibri" w:cs="Calibri"/>
          <w:b/>
          <w:color w:val="4472C4"/>
          <w:sz w:val="24"/>
          <w:szCs w:val="24"/>
        </w:rPr>
        <w:t xml:space="preserve">azul </w:t>
      </w:r>
      <w:r w:rsidRPr="005067A6">
        <w:rPr>
          <w:rFonts w:ascii="Calibri" w:eastAsia="Calibri" w:hAnsi="Calibri" w:cs="Calibri"/>
          <w:b/>
          <w:sz w:val="24"/>
          <w:szCs w:val="24"/>
        </w:rPr>
        <w:t>e o texto abaixo:</w:t>
      </w:r>
    </w:p>
    <w:p w14:paraId="4A3F94A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34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p w14:paraId="0436C94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libri" w:hAnsi="Calibri" w:cs="Calibri"/>
          <w:color w:val="222222"/>
          <w:sz w:val="24"/>
          <w:szCs w:val="24"/>
        </w:rPr>
      </w:pPr>
      <w:r w:rsidRPr="005067A6">
        <w:rPr>
          <w:rFonts w:ascii="Calibri" w:eastAsia="Calibri" w:hAnsi="Calibri" w:cs="Calibri"/>
          <w:b/>
          <w:sz w:val="24"/>
          <w:szCs w:val="24"/>
        </w:rPr>
        <w:t>Observar na formatação do texto</w:t>
      </w:r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 xml:space="preserve">, conforme estabelece o </w:t>
      </w:r>
      <w:hyperlink r:id="rId9">
        <w:r w:rsidRPr="005067A6">
          <w:rPr>
            <w:rFonts w:ascii="Calibri" w:eastAsia="Calibri" w:hAnsi="Calibri" w:cs="Calibri"/>
            <w:b/>
            <w:color w:val="0563C1"/>
            <w:sz w:val="24"/>
            <w:szCs w:val="24"/>
            <w:u w:val="single"/>
          </w:rPr>
          <w:t>Decreto N. 12.002, de 22 de Abril de 2024</w:t>
        </w:r>
      </w:hyperlink>
      <w:r w:rsidRPr="005067A6">
        <w:rPr>
          <w:rFonts w:ascii="Calibri" w:eastAsia="Calibri" w:hAnsi="Calibri" w:cs="Calibri"/>
          <w:b/>
          <w:color w:val="222222"/>
          <w:sz w:val="24"/>
          <w:szCs w:val="24"/>
        </w:rPr>
        <w:t>, as seguintes regras:</w:t>
      </w:r>
    </w:p>
    <w:p w14:paraId="44D5586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7AD418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5CB8D221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FORMATAÇÃO DO TEXTO (ART 12):</w:t>
      </w:r>
    </w:p>
    <w:p w14:paraId="39622B4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62252B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 formatação do texto do ato normativo, usa-se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 12, XXII)</w:t>
      </w: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6DCB810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322E2B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a) fonte Calibri, corpo doze;</w:t>
      </w:r>
    </w:p>
    <w:p w14:paraId="5C610875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margem lateral esquerda de dois centímetros de largura;</w:t>
      </w:r>
    </w:p>
    <w:p w14:paraId="118E594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margem lateral direita de um centímetro de largura;</w:t>
      </w:r>
    </w:p>
    <w:p w14:paraId="1D02E9E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recuo à esquerda de 2,5 cm (dois centímetros e cinco milímetros) nos textos que correspondem a alterações no corpo de outros atos normativos;</w:t>
      </w:r>
    </w:p>
    <w:p w14:paraId="13D4343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espaçamento simples entre linhas e de seis pontos após cada parágrafo; e</w:t>
      </w:r>
    </w:p>
    <w:p w14:paraId="4EE3C7AB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acréscimo de uma linha em branco:</w:t>
      </w:r>
    </w:p>
    <w:p w14:paraId="136FD2F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3FD6ADB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1. antes e após a denominação de parte, livro, título, capítulo, seção ou subseção; e</w:t>
      </w:r>
    </w:p>
    <w:p w14:paraId="6BF92993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2. após a epígrafe, a ementa, o preâmbulo e a ordem de execução;</w:t>
      </w:r>
    </w:p>
    <w:p w14:paraId="50BCDA5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rquivos eletrônicos dos atos normativos são configurados para o tamanho A4</w:t>
      </w:r>
      <w:r w:rsidRPr="005067A6">
        <w:rPr>
          <w:rFonts w:ascii="Calibri" w:eastAsia="Carlito" w:hAnsi="Calibri" w:cs="Calibri"/>
          <w:sz w:val="24"/>
          <w:szCs w:val="24"/>
        </w:rPr>
        <w:t>;</w:t>
      </w:r>
      <w:r>
        <w:rPr>
          <w:rFonts w:ascii="Calibri" w:eastAsia="Carlito" w:hAnsi="Calibri" w:cs="Calibri"/>
          <w:sz w:val="24"/>
          <w:szCs w:val="24"/>
        </w:rPr>
        <w:t xml:space="preserve"> (Art. 12, XXIV);</w:t>
      </w:r>
    </w:p>
    <w:p w14:paraId="7810679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epígrafe (formada pelo título designativo da espécie normativa e pela data de assinatura) é grafada em letras MAIÚSCULAS, sem negrito, de forma centralizada; </w:t>
      </w:r>
      <w:r>
        <w:rPr>
          <w:rFonts w:ascii="Calibri" w:eastAsia="Carlito" w:hAnsi="Calibri" w:cs="Calibri"/>
          <w:sz w:val="24"/>
          <w:szCs w:val="24"/>
        </w:rPr>
        <w:t>(Art. 12, XXVI);</w:t>
      </w:r>
    </w:p>
    <w:p w14:paraId="2863B420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sz w:val="24"/>
          <w:szCs w:val="24"/>
        </w:rPr>
      </w:pP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ementa tem alinhamento justificado, com recuo de nove centímetros à esquerda.</w:t>
      </w:r>
      <w:r w:rsidRPr="00221007">
        <w:rPr>
          <w:rFonts w:ascii="Calibri" w:eastAsia="Carlito" w:hAnsi="Calibri" w:cs="Calibri"/>
          <w:sz w:val="24"/>
          <w:szCs w:val="24"/>
        </w:rPr>
        <w:t xml:space="preserve"> </w:t>
      </w:r>
      <w:r>
        <w:rPr>
          <w:rFonts w:ascii="Calibri" w:eastAsia="Carlito" w:hAnsi="Calibri" w:cs="Calibri"/>
          <w:sz w:val="24"/>
          <w:szCs w:val="24"/>
        </w:rPr>
        <w:t>(Art. 12, XXVII);</w:t>
      </w:r>
    </w:p>
    <w:p w14:paraId="1401EB3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Poderá ser adotada a especificação temática do conteúdo de artigo ou de grupo de artigos, mediante denominação grafada em letras minúsculas e em negrito, alinhada à esquerda, sem numeração, posicionada imediatamente antes do dispositivo ou do grupo de dispositivos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12, XXVII, 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>Parágrafo único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ED541C">
        <w:rPr>
          <w:rFonts w:ascii="Calibri" w:eastAsia="Carlito" w:hAnsi="Calibri" w:cs="Calibri"/>
          <w:color w:val="000000"/>
          <w:sz w:val="24"/>
          <w:szCs w:val="24"/>
        </w:rPr>
        <w:t xml:space="preserve">  </w:t>
      </w:r>
    </w:p>
    <w:p w14:paraId="28A8A027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FF0000"/>
          <w:sz w:val="24"/>
          <w:szCs w:val="24"/>
        </w:rPr>
        <w:t>N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</w:rPr>
        <w:t xml:space="preserve">o texto do ato normativo </w:t>
      </w:r>
      <w:r w:rsidRPr="005067A6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não se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  <w:u w:val="single"/>
        </w:rPr>
        <w:t xml:space="preserve">usa </w:t>
      </w:r>
      <w:r w:rsidRPr="00221007">
        <w:rPr>
          <w:rFonts w:ascii="Calibri" w:eastAsia="Carlito" w:hAnsi="Calibri" w:cs="Calibri"/>
          <w:b/>
          <w:bCs/>
          <w:color w:val="FF0000"/>
          <w:sz w:val="24"/>
          <w:szCs w:val="24"/>
        </w:rPr>
        <w:t>(Art. 12, XXIII):</w:t>
      </w:r>
    </w:p>
    <w:p w14:paraId="6814BA7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>a) texto sublinhado;</w:t>
      </w:r>
    </w:p>
    <w:p w14:paraId="7E42D101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b) texto tachado;</w:t>
      </w:r>
    </w:p>
    <w:p w14:paraId="645908C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c) cabeçalho;</w:t>
      </w:r>
    </w:p>
    <w:p w14:paraId="46B2860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d) rodapé;</w:t>
      </w:r>
    </w:p>
    <w:p w14:paraId="49CD465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e) texto colorido;</w:t>
      </w:r>
    </w:p>
    <w:p w14:paraId="6310321F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f) campos com atualização automática; e</w:t>
      </w:r>
    </w:p>
    <w:p w14:paraId="7F5FCA2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g) qualquer forma de caracteres ou símbolos não imprimíveis;</w:t>
      </w:r>
    </w:p>
    <w:p w14:paraId="18DAC31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A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s palavras e as expressões em latim ou em língua estrangeira são grafadas em </w:t>
      </w:r>
      <w:r w:rsidRPr="005067A6">
        <w:rPr>
          <w:rFonts w:ascii="Calibri" w:eastAsia="Carlito" w:hAnsi="Calibri" w:cs="Calibri"/>
          <w:i/>
          <w:color w:val="000000"/>
          <w:sz w:val="24"/>
          <w:szCs w:val="24"/>
        </w:rPr>
        <w:t>itálico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  <w:r w:rsidRPr="00221007">
        <w:t xml:space="preserve"> 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(Art. 12, X</w:t>
      </w:r>
      <w:r>
        <w:rPr>
          <w:rFonts w:ascii="Calibri" w:eastAsia="Carlito" w:hAnsi="Calibri" w:cs="Calibri"/>
          <w:color w:val="000000"/>
          <w:sz w:val="24"/>
          <w:szCs w:val="24"/>
        </w:rPr>
        <w:t>XV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);</w:t>
      </w:r>
    </w:p>
    <w:p w14:paraId="560EE266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spacing w:before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ARTICULAÇÃO DO TEXTO (ART. 12):</w:t>
      </w:r>
    </w:p>
    <w:p w14:paraId="14103E8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ARTIGO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(Art.)</w:t>
      </w:r>
    </w:p>
    <w:p w14:paraId="4E3C2C0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 ordinal até o nono artigo; e cardinal, acompanhada de ponto, a partir do décimo artigo;</w:t>
      </w:r>
    </w:p>
    <w:p w14:paraId="75718744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1F5F388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 xml:space="preserve"> - o texto do artigo inicia-se com letra maiúscula e termina com ponto ou, nos casos em que se desdobrar em incisos, com dois-pontos</w:t>
      </w:r>
    </w:p>
    <w:p w14:paraId="2308AAE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E9200B2" w14:textId="77777777" w:rsidR="00A45547" w:rsidRPr="0022100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623161C9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Art.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1B8153E8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PARÁGRAFOS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§)</w:t>
      </w:r>
    </w:p>
    <w:p w14:paraId="4B7CB6B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pelo símbolo “§”, seguido de numeração</w:t>
      </w:r>
    </w:p>
    <w:p w14:paraId="0A7B20C5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ordinal até o nono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9º) 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 e cardinal, acompanhada de ponto, a partir do décimo artigo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(Art. 10. )</w:t>
      </w:r>
      <w:r w:rsidRPr="005067A6"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30A4CA3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a numeração do artigo é separada do texto por dois espaços em branco, sem traços ou outros sinais</w:t>
      </w:r>
    </w:p>
    <w:p w14:paraId="3CEE264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73F2F29" w14:textId="77777777" w:rsidR="00A45547" w:rsidRPr="0022100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9º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</w:p>
    <w:p w14:paraId="6E0108A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221007">
        <w:rPr>
          <w:rFonts w:ascii="Calibri" w:eastAsia="Carlito" w:hAnsi="Calibri" w:cs="Calibri"/>
          <w:color w:val="000000"/>
          <w:sz w:val="24"/>
          <w:szCs w:val="24"/>
        </w:rPr>
        <w:t>§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10.</w:t>
      </w:r>
      <w:r w:rsidRPr="00221007">
        <w:rPr>
          <w:rFonts w:ascii="Calibri" w:eastAsia="Carlito" w:hAnsi="Calibri" w:cs="Calibri"/>
          <w:color w:val="000000"/>
          <w:sz w:val="24"/>
          <w:szCs w:val="24"/>
        </w:rPr>
        <w:t>··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</w:p>
    <w:p w14:paraId="46BF38CA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INCISOS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I, II, III, ..)</w:t>
      </w:r>
    </w:p>
    <w:p w14:paraId="30F26B9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indicados por algarismos romanos seguidos de hífen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5F170B6C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separado do algarismo e do texto por um espaço em branco</w:t>
      </w:r>
      <w:r>
        <w:rPr>
          <w:rFonts w:ascii="Calibri" w:eastAsia="Carlito" w:hAnsi="Calibri" w:cs="Calibri"/>
          <w:color w:val="000000"/>
          <w:sz w:val="24"/>
          <w:szCs w:val="24"/>
        </w:rPr>
        <w:t>;</w:t>
      </w:r>
    </w:p>
    <w:p w14:paraId="121E2094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texto do inciso inicia-se com letra minúscula, exceto quando se tratar de nome próprio, e termina com ponto e vírgula; dois-pontos, quando se desdobrar em alíneas; ou ponto, caso seja o último;</w:t>
      </w:r>
    </w:p>
    <w:p w14:paraId="28D4884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C7D2D0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I –</w:t>
      </w:r>
    </w:p>
    <w:p w14:paraId="6935AE4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II – </w:t>
      </w:r>
    </w:p>
    <w:p w14:paraId="4B6BA4F2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7BA3B8DE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ALÍNEAS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 a), b), c), d), ...)</w:t>
      </w:r>
    </w:p>
    <w:p w14:paraId="52F81E8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t>- texto do inciso inicia-se com letra minúscula, exceto quando se tratar de nome próprio, e termina com ponto e vírgula; dois-pontos, quando se desdobrar em alíneas; ou ponto, caso seja o último;</w:t>
      </w:r>
    </w:p>
    <w:p w14:paraId="13B6E61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color w:val="000000"/>
          <w:sz w:val="24"/>
          <w:szCs w:val="24"/>
        </w:rPr>
        <w:lastRenderedPageBreak/>
        <w:t>- alínea desdobra-se em itens, que se desdobram em subitens, indicados por algarismos arábicos</w:t>
      </w:r>
    </w:p>
    <w:p w14:paraId="6AA61F8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2136A3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a)</w:t>
      </w:r>
    </w:p>
    <w:p w14:paraId="3DDE64F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b)</w:t>
      </w:r>
    </w:p>
    <w:p w14:paraId="17D55A24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c)</w:t>
      </w:r>
    </w:p>
    <w:p w14:paraId="6EEFD6D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...</w:t>
      </w:r>
    </w:p>
    <w:p w14:paraId="0211E60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3B34297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0F0E4160" w14:textId="77777777" w:rsidR="00A45547" w:rsidRPr="005067A6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5067A6">
        <w:rPr>
          <w:rFonts w:ascii="Calibri" w:eastAsia="Carlito" w:hAnsi="Calibri" w:cs="Calibri"/>
          <w:b/>
          <w:bCs/>
          <w:color w:val="000000"/>
          <w:sz w:val="24"/>
          <w:szCs w:val="24"/>
        </w:rPr>
        <w:t>REDAÇÃO DOS ATOS (Art. 11)</w:t>
      </w:r>
    </w:p>
    <w:p w14:paraId="30EEB1EB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CLAREZA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02C5BD9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a) 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empregar as palavras e as expressões em seu sentido comum, exceto quando a norma versar sobre assunto técnico, hipótese em que se poderá empregar a nomenclatura própria da área sobre a qual dispõe o ato normativo;</w:t>
      </w:r>
    </w:p>
    <w:p w14:paraId="50CC835D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>b)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usar frases curtas e concisas;</w:t>
      </w:r>
    </w:p>
    <w:p w14:paraId="50D85BC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c)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orações na ordem direta;</w:t>
      </w:r>
    </w:p>
    <w:p w14:paraId="1744D43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468DA79B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jc w:val="left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P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ARA OBTENÇÃO DA PRECISÃO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II)</w:t>
      </w:r>
      <w:r w:rsidRPr="007354E7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4363C18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504E256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articular a linguagem mais adequada, comum ou técnica, à compreensão do objetivo, do conteúdo e do alcance do ato normativo;</w:t>
      </w:r>
    </w:p>
    <w:p w14:paraId="076BEC37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respeitar as regras gramaticais e ortográficas da norma culta;</w:t>
      </w:r>
    </w:p>
    <w:p w14:paraId="5251ADD4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evitar o emprego de sinonímia;</w:t>
      </w:r>
    </w:p>
    <w:p w14:paraId="2286928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Chars="0" w:left="0" w:firstLineChars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não usar palavra ou expressão que possa conferir ambiguidade, em língua estrangeira quando houver termo equivalente em língua portuguesa e não reconhecida pelo Vocabulário Ortográfico da Língua Portuguesa</w:t>
      </w:r>
    </w:p>
    <w:p w14:paraId="1FB0303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</w:p>
    <w:p w14:paraId="453597E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34113310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SIGLAS (Art 11, II, f) ):</w:t>
      </w:r>
    </w:p>
    <w:p w14:paraId="12E0C4DB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53ECC971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70C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70C0"/>
          <w:sz w:val="24"/>
          <w:szCs w:val="24"/>
        </w:rPr>
        <w:t>Quando usar:</w:t>
      </w:r>
    </w:p>
    <w:p w14:paraId="3DF8E39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10411000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entidades da administração pública indireta apenas se previstos em lei;</w:t>
      </w:r>
      <w:r>
        <w:rPr>
          <w:rFonts w:ascii="Calibri" w:eastAsia="Carlito" w:hAnsi="Calibri" w:cs="Calibri"/>
          <w:color w:val="000000"/>
          <w:sz w:val="24"/>
          <w:szCs w:val="24"/>
        </w:rPr>
        <w:t>-</w:t>
      </w:r>
    </w:p>
    <w:p w14:paraId="2B0F7D2F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usar para designar colegiado, política pública, projeto, programa ou sistema apenas se previstos em lei ou no ato normativo que os instituiu;</w:t>
      </w:r>
    </w:p>
    <w:p w14:paraId="0C423BDC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3FF1AD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FF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FF0000"/>
          <w:sz w:val="24"/>
          <w:szCs w:val="24"/>
        </w:rPr>
        <w:t>Quando não usar:</w:t>
      </w:r>
    </w:p>
    <w:p w14:paraId="4CB5CBF3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755E104D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não usar para designar órgãos ou unidades da administração pública direta;</w:t>
      </w:r>
    </w:p>
    <w:p w14:paraId="34A450CF" w14:textId="77777777" w:rsidR="00A45547" w:rsidRPr="007354E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 xml:space="preserve"> não usar para fazer referência a ato normativo;</w:t>
      </w:r>
    </w:p>
    <w:p w14:paraId="1EBCF25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ão estabelecer novos usos para siglas ou acrônimos preexistentes</w:t>
      </w:r>
    </w:p>
    <w:p w14:paraId="51A99E9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 N</w:t>
      </w:r>
      <w:r w:rsidRPr="007354E7">
        <w:rPr>
          <w:rFonts w:ascii="Calibri" w:eastAsia="Carlito" w:hAnsi="Calibri" w:cs="Calibri"/>
          <w:color w:val="000000"/>
          <w:sz w:val="24"/>
          <w:szCs w:val="24"/>
        </w:rPr>
        <w:t>a primeira menção, grafar o nome por extenso, seguido de travessão e da sigla ou do acrônimo</w:t>
      </w:r>
    </w:p>
    <w:p w14:paraId="7336D0E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8F97FB8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6A58019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UTILIZAÇÃO DO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E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“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OU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”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NO FINAL DA FRASE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 (Art 11, II, g)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0630192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7E418704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usar no penúltimo inciso, alínea, item ou subitem:</w:t>
      </w:r>
    </w:p>
    <w:p w14:paraId="32E597D8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“e”, se a sequência de dispositivos for cumulativa ou enumerativa; ou</w:t>
      </w:r>
    </w:p>
    <w:p w14:paraId="2CFF08D2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 xml:space="preserve">- 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>a conjunção “ou”, se a sequência de dispositivos for alternativa;</w:t>
      </w:r>
    </w:p>
    <w:p w14:paraId="4F02217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FCB2036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4E9F77C1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 xml:space="preserve">REMISSÃO DE ATOS NORMATIVOS </w:t>
      </w: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(Art 11, II, l )</w:t>
      </w:r>
      <w:r w:rsidRPr="00AA2FDD">
        <w:rPr>
          <w:rFonts w:ascii="Calibri" w:eastAsia="Carlito" w:hAnsi="Calibri" w:cs="Calibri"/>
          <w:b/>
          <w:bCs/>
          <w:color w:val="000000"/>
          <w:sz w:val="24"/>
          <w:szCs w:val="24"/>
        </w:rPr>
        <w:t>:</w:t>
      </w:r>
    </w:p>
    <w:p w14:paraId="56C21389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6E74423D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rlito" w:hAnsi="Calibri" w:cs="Calibri"/>
          <w:b/>
          <w:bCs/>
          <w:color w:val="000000"/>
          <w:sz w:val="24"/>
          <w:szCs w:val="24"/>
        </w:rPr>
        <w:t>Como fazer:</w:t>
      </w:r>
    </w:p>
    <w:p w14:paraId="7D1E0555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b/>
          <w:bCs/>
          <w:color w:val="000000"/>
          <w:sz w:val="24"/>
          <w:szCs w:val="24"/>
        </w:rPr>
      </w:pPr>
    </w:p>
    <w:p w14:paraId="03BF92BB" w14:textId="77777777" w:rsidR="00A45547" w:rsidRPr="00AA2FDD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r w:rsidRPr="00AA2FDD">
        <w:rPr>
          <w:rFonts w:ascii="Calibri" w:eastAsia="Carlito" w:hAnsi="Calibri" w:cs="Calibri"/>
          <w:color w:val="000000"/>
          <w:sz w:val="24"/>
          <w:szCs w:val="24"/>
        </w:rPr>
        <w:t>- referir-se a unidades administrativas de forma completa na primeira menção;</w:t>
      </w:r>
    </w:p>
    <w:p w14:paraId="676CC55B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>
        <w:rPr>
          <w:rFonts w:ascii="Calibri" w:eastAsia="Carlito" w:hAnsi="Calibri" w:cs="Calibri"/>
          <w:color w:val="000000"/>
          <w:sz w:val="24"/>
          <w:szCs w:val="24"/>
        </w:rPr>
        <w:t>-</w:t>
      </w:r>
      <w:r w:rsidRPr="00AA2FDD">
        <w:rPr>
          <w:rFonts w:ascii="Calibri" w:eastAsia="Carlito" w:hAnsi="Calibri" w:cs="Calibri"/>
          <w:color w:val="000000"/>
          <w:sz w:val="24"/>
          <w:szCs w:val="24"/>
        </w:rPr>
        <w:t xml:space="preserve"> indicar, expressamente, o dispositivo objeto de remissão, por meio do emprego da abreviatura “art.”,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seguida do número correspondente, ordinal ou cardinal;</w:t>
      </w:r>
    </w:p>
    <w:p w14:paraId="52DC217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com exceção dos códigos, não usar nomes próprios ou apelidos para se referir a atos normativos;</w:t>
      </w:r>
    </w:p>
    <w:p w14:paraId="61FC4079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254239ED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</w:t>
      </w:r>
    </w:p>
    <w:p w14:paraId="78B4F603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1ª citação: Lei 8.112 de 11 de Dezembro de 1990.</w:t>
      </w:r>
    </w:p>
    <w:p w14:paraId="514EC4C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2ª Citação: Lei 8.112 de 11 de Dezembro de 1990.</w:t>
      </w:r>
    </w:p>
    <w:p w14:paraId="55DFF18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3ª Citação: Lei 8.112 de 11 de Dezembro de 1990.</w:t>
      </w:r>
    </w:p>
    <w:p w14:paraId="0B412C06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5E429834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citação de artigos deve ser sempre do geral para o específico</w:t>
      </w:r>
    </w:p>
    <w:p w14:paraId="3BD5DB4E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64B2611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Ex:  </w:t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>Art. 1, Caput, Inciso I, Alínea “a”</w:t>
      </w:r>
    </w:p>
    <w:p w14:paraId="5C000EC6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0943AF67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Art. 1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Caput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 Inciso I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  <w:lang w:val="en-US"/>
        </w:rPr>
        <w:sym w:font="Wingdings" w:char="F0E0"/>
      </w:r>
      <w:r w:rsidRPr="002332D5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 Alínea “a”</w:t>
      </w:r>
    </w:p>
    <w:p w14:paraId="04ACC45C" w14:textId="77777777" w:rsidR="00A45547" w:rsidRPr="002332D5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2F5AAE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FF0000"/>
          <w:sz w:val="24"/>
          <w:szCs w:val="24"/>
        </w:rPr>
        <w:t>O que não fazer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:</w:t>
      </w:r>
    </w:p>
    <w:p w14:paraId="55AA439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FEF285A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usar expressões como “anterior”, “seguinte” ou equivalentes para fazer remissões a outros dispositivos;</w:t>
      </w:r>
    </w:p>
    <w:p w14:paraId="14EC0F9E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desnecessárias a outros atos normativos;</w:t>
      </w:r>
    </w:p>
    <w:p w14:paraId="3F1FCAE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encadeadas;</w:t>
      </w:r>
    </w:p>
    <w:p w14:paraId="41B7199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não fazer remissões a atos normativos hierarquicamente inferiores</w:t>
      </w:r>
    </w:p>
    <w:p w14:paraId="285CA4DF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82A744B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ADEQUAÇÃO DE GÊNERO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9º)</w:t>
      </w:r>
    </w:p>
    <w:p w14:paraId="1FBC3E9C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13BAA697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- A denominação de cargo público ou função de confiança mencionada em ato normativo poderá ser flexionada conforme o gênero da pessoa que a ocupe no momento da proposição do ato normativo.</w:t>
      </w:r>
    </w:p>
    <w:p w14:paraId="7A95A00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59284C8F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A0DF013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EXPRESSÃO “E/OU” 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4º)</w:t>
      </w:r>
    </w:p>
    <w:p w14:paraId="03BFF8D9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76BA5EB1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- </w:t>
      </w: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>A expressão “e/ou” não será usada em atos normativos</w:t>
      </w:r>
      <w:r>
        <w:rPr>
          <w:rFonts w:asciiTheme="majorHAnsi" w:eastAsia="Carlito" w:hAnsiTheme="majorHAnsi" w:cstheme="majorHAnsi"/>
          <w:color w:val="000000"/>
          <w:sz w:val="24"/>
          <w:szCs w:val="24"/>
        </w:rPr>
        <w:t>.</w:t>
      </w:r>
    </w:p>
    <w:p w14:paraId="66CF9F8A" w14:textId="77777777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</w:p>
    <w:p w14:paraId="4628590F" w14:textId="77777777" w:rsidR="00A45547" w:rsidRPr="00ED541C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left="0" w:hanging="2"/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</w:pPr>
      <w:r w:rsidRPr="00ED541C">
        <w:rPr>
          <w:rFonts w:asciiTheme="majorHAnsi" w:eastAsia="Carlito" w:hAnsiTheme="majorHAnsi" w:cstheme="majorHAnsi"/>
          <w:b/>
          <w:bCs/>
          <w:color w:val="000000"/>
          <w:sz w:val="24"/>
          <w:szCs w:val="24"/>
        </w:rPr>
        <w:t xml:space="preserve">NÃO CONTER TEXTOS EXPLICATIVOS (Art. 11, </w:t>
      </w:r>
      <w:r w:rsidRPr="00ED541C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8º)</w:t>
      </w:r>
    </w:p>
    <w:p w14:paraId="14ED6BD2" w14:textId="77777777" w:rsidR="00A45547" w:rsidRPr="00615E20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Theme="majorHAnsi" w:eastAsia="Carlito" w:hAnsiTheme="majorHAnsi" w:cstheme="majorHAnsi"/>
          <w:color w:val="000000"/>
          <w:sz w:val="24"/>
          <w:szCs w:val="24"/>
        </w:rPr>
      </w:pPr>
      <w:r w:rsidRPr="00615E20">
        <w:rPr>
          <w:rFonts w:asciiTheme="majorHAnsi" w:eastAsia="Carlito" w:hAnsiTheme="majorHAnsi" w:cstheme="majorHAnsi"/>
          <w:color w:val="000000"/>
          <w:sz w:val="24"/>
          <w:szCs w:val="24"/>
        </w:rPr>
        <w:t xml:space="preserve">- Ressalvadas as normas de Direito Financeiro, os atos normativos não conterão textos explicativos, dissertativos ou que tenham como objetivo explicar iniciativas ou políticas públicas. </w:t>
      </w:r>
    </w:p>
    <w:p w14:paraId="734E02D2" w14:textId="0576D18C" w:rsidR="00A45547" w:rsidRDefault="00A45547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34CFE3C5" w14:textId="77777777" w:rsidR="009644A7" w:rsidRDefault="009644A7" w:rsidP="00964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  <w:bookmarkStart w:id="7" w:name="_Hlk174626638"/>
      <w:r>
        <w:rPr>
          <w:rFonts w:ascii="Calibri" w:eastAsia="Carlito" w:hAnsi="Calibri" w:cs="Calibri"/>
          <w:color w:val="000000"/>
          <w:sz w:val="24"/>
          <w:szCs w:val="24"/>
        </w:rPr>
        <w:lastRenderedPageBreak/>
        <w:t xml:space="preserve">Obs: respeitar a adequação de gênero na redação do documento para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incorporar na comunicação oficial da instituição (ofícios, memorandos, editais, portarias, resoluções, etc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 xml:space="preserve"> linguagem inclusiva e não sexista </w:t>
      </w:r>
      <w:r>
        <w:rPr>
          <w:rFonts w:ascii="Calibri" w:eastAsia="Carlito" w:hAnsi="Calibri" w:cs="Calibri"/>
          <w:color w:val="000000"/>
          <w:sz w:val="24"/>
          <w:szCs w:val="24"/>
        </w:rPr>
        <w:t xml:space="preserve">(Conforme </w:t>
      </w:r>
      <w:r w:rsidRPr="00367373">
        <w:rPr>
          <w:rFonts w:ascii="Calibri" w:eastAsia="Carlito" w:hAnsi="Calibri" w:cs="Calibri"/>
          <w:color w:val="000000"/>
          <w:sz w:val="24"/>
          <w:szCs w:val="24"/>
        </w:rPr>
        <w:t>Disciplina a Política de Igualdade de Gênero da Universidade Federal de Santa Maria (UFSM).</w:t>
      </w:r>
      <w:r>
        <w:rPr>
          <w:rFonts w:ascii="Calibri" w:eastAsia="Carlito" w:hAnsi="Calibri" w:cs="Calibri"/>
          <w:color w:val="000000"/>
          <w:sz w:val="24"/>
          <w:szCs w:val="24"/>
        </w:rPr>
        <w:t>)</w:t>
      </w:r>
    </w:p>
    <w:bookmarkEnd w:id="7"/>
    <w:p w14:paraId="7711EB25" w14:textId="77777777" w:rsidR="009D40AE" w:rsidRPr="005067A6" w:rsidRDefault="009D40AE" w:rsidP="00A455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00" w:after="300"/>
        <w:ind w:left="0" w:hanging="2"/>
        <w:rPr>
          <w:rFonts w:ascii="Calibri" w:eastAsia="Carlito" w:hAnsi="Calibri" w:cs="Calibri"/>
          <w:color w:val="000000"/>
          <w:sz w:val="24"/>
          <w:szCs w:val="24"/>
        </w:rPr>
      </w:pPr>
    </w:p>
    <w:p w14:paraId="12CF2096" w14:textId="77777777" w:rsidR="00A45547" w:rsidRPr="005067A6" w:rsidRDefault="00A45547" w:rsidP="00A455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AFD24BD" w14:textId="77777777" w:rsidR="00FD3766" w:rsidRDefault="00FD3766" w:rsidP="00A45547">
      <w:pPr>
        <w:tabs>
          <w:tab w:val="left" w:pos="4215"/>
        </w:tabs>
        <w:spacing w:after="120"/>
        <w:ind w:leftChars="0" w:left="0" w:firstLineChars="0" w:firstLine="0"/>
        <w:jc w:val="center"/>
        <w:rPr>
          <w:rFonts w:ascii="Calibri" w:eastAsia="Calibri" w:hAnsi="Calibri" w:cs="Calibri"/>
          <w:sz w:val="24"/>
          <w:szCs w:val="24"/>
        </w:rPr>
      </w:pPr>
    </w:p>
    <w:sectPr w:rsidR="00FD3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A759" w14:textId="77777777" w:rsidR="00B4459D" w:rsidRDefault="00B4459D">
      <w:pPr>
        <w:spacing w:line="240" w:lineRule="auto"/>
        <w:ind w:left="0" w:hanging="2"/>
      </w:pPr>
      <w:r>
        <w:separator/>
      </w:r>
    </w:p>
  </w:endnote>
  <w:endnote w:type="continuationSeparator" w:id="0">
    <w:p w14:paraId="69FA56DC" w14:textId="77777777" w:rsidR="00B4459D" w:rsidRDefault="00B445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Humnst BT">
    <w:panose1 w:val="020B07020505080203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0943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B649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C469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E47C" w14:textId="77777777" w:rsidR="00B4459D" w:rsidRDefault="00B4459D">
      <w:pPr>
        <w:spacing w:line="240" w:lineRule="auto"/>
        <w:ind w:left="0" w:hanging="2"/>
      </w:pPr>
      <w:r>
        <w:separator/>
      </w:r>
    </w:p>
  </w:footnote>
  <w:footnote w:type="continuationSeparator" w:id="0">
    <w:p w14:paraId="7DB5F9B0" w14:textId="77777777" w:rsidR="00B4459D" w:rsidRDefault="00B445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3D7D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82A4" w14:textId="77777777" w:rsidR="00FD3766" w:rsidRDefault="00F07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>(Fol. 0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FF2960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  <w:sz w:val="24"/>
        <w:szCs w:val="24"/>
      </w:rPr>
      <w:t xml:space="preserve"> da Resolução UFSM n° 0XX, de XX de XXXX  de 202X)</w:t>
    </w:r>
  </w:p>
  <w:p w14:paraId="13A6C551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AF4B" w14:textId="515D34A1" w:rsidR="00221007" w:rsidRDefault="00221007" w:rsidP="00221007">
    <w:pPr>
      <w:ind w:left="0" w:hanging="2"/>
      <w:jc w:val="center"/>
      <w:rPr>
        <w:rFonts w:ascii="Calibri" w:hAnsi="Calibri" w:cs="Calibri"/>
        <w:sz w:val="24"/>
      </w:rPr>
    </w:pPr>
    <w:r w:rsidRPr="0096548E">
      <w:rPr>
        <w:noProof/>
        <w:lang w:eastAsia="pt-BR"/>
      </w:rPr>
      <w:drawing>
        <wp:inline distT="0" distB="0" distL="0" distR="0" wp14:anchorId="66338810" wp14:editId="308DF783">
          <wp:extent cx="616585" cy="6591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A347281" w14:textId="77777777" w:rsidR="00FD3766" w:rsidRDefault="00F07949">
    <w:pPr>
      <w:ind w:left="0" w:hanging="2"/>
      <w:jc w:val="center"/>
    </w:pPr>
    <w:r>
      <w:rPr>
        <w:rFonts w:ascii="Calibri" w:eastAsia="Calibri" w:hAnsi="Calibri" w:cs="Calibri"/>
        <w:sz w:val="24"/>
        <w:szCs w:val="24"/>
      </w:rPr>
      <w:t>MINISTÉRIO DA EDUCAÇÃO</w:t>
    </w:r>
  </w:p>
  <w:p w14:paraId="0919800E" w14:textId="77777777" w:rsidR="00FD3766" w:rsidRDefault="00F07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24"/>
        <w:szCs w:val="24"/>
      </w:rPr>
      <w:t>UNIVERSIDADE FEDERAL DE SANTA MARIA</w:t>
    </w:r>
  </w:p>
  <w:p w14:paraId="32524D9D" w14:textId="77777777" w:rsidR="00FD3766" w:rsidRDefault="00FD3766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Calibri" w:eastAsia="Calibri" w:hAnsi="Calibri" w:cs="Calibri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41C"/>
    <w:multiLevelType w:val="multilevel"/>
    <w:tmpl w:val="811694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0716FE"/>
    <w:multiLevelType w:val="hybridMultilevel"/>
    <w:tmpl w:val="EAD2396C"/>
    <w:lvl w:ilvl="0" w:tplc="50C6400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66"/>
    <w:rsid w:val="001E3EDD"/>
    <w:rsid w:val="00221007"/>
    <w:rsid w:val="0022785B"/>
    <w:rsid w:val="00296EFA"/>
    <w:rsid w:val="00367373"/>
    <w:rsid w:val="005067A6"/>
    <w:rsid w:val="00615E20"/>
    <w:rsid w:val="007354E7"/>
    <w:rsid w:val="00807FB5"/>
    <w:rsid w:val="008E71D2"/>
    <w:rsid w:val="009644A7"/>
    <w:rsid w:val="009B2AC8"/>
    <w:rsid w:val="009D40AE"/>
    <w:rsid w:val="00A308C5"/>
    <w:rsid w:val="00A45547"/>
    <w:rsid w:val="00AA2FDD"/>
    <w:rsid w:val="00B4459D"/>
    <w:rsid w:val="00BA1C4F"/>
    <w:rsid w:val="00C41B4D"/>
    <w:rsid w:val="00C56163"/>
    <w:rsid w:val="00DA77D1"/>
    <w:rsid w:val="00F07949"/>
    <w:rsid w:val="00FD37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DDC06"/>
  <w15:docId w15:val="{233D9055-BE2F-42D7-9E2D-96E416FB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firstLine="705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tLeast"/>
      <w:ind w:left="-1" w:firstLine="709"/>
      <w:outlineLvl w:val="1"/>
    </w:pPr>
    <w:rPr>
      <w:rFonts w:ascii="Arial Black" w:hAnsi="Arial Black" w:cs="Arial Black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firstLine="1418"/>
      <w:jc w:val="right"/>
      <w:outlineLvl w:val="2"/>
    </w:pPr>
    <w:rPr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firstLine="709"/>
      <w:jc w:val="center"/>
      <w:outlineLvl w:val="3"/>
    </w:pPr>
    <w:rPr>
      <w:rFonts w:ascii="ZapfHumnst BT" w:hAnsi="ZapfHumnst BT" w:cs="ZapfHumnst BT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4536" w:right="-1" w:firstLine="709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-1" w:firstLine="709"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ind w:firstLine="0"/>
      <w:jc w:val="center"/>
    </w:pPr>
    <w:rPr>
      <w:rFonts w:ascii="Arial" w:hAnsi="Arial" w:cs="Arial"/>
      <w:sz w:val="28"/>
      <w:lang w:eastAsia="ja-JP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 w:hint="default"/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spacing w:val="1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Arial" w:hAnsi="Arial" w:cs="Aria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w w:val="100"/>
      <w:position w:val="-1"/>
      <w:sz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3">
    <w:name w:val="Ref. de comentário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Refdecomentrio4">
    <w:name w:val="Ref. de comentário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3">
    <w:name w:val="Texto de comentário Char3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efdecomentrio5">
    <w:name w:val="Ref. de comentário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4">
    <w:name w:val="Texto de comentário Char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sz w:val="28"/>
    </w:rPr>
  </w:style>
  <w:style w:type="paragraph" w:customStyle="1" w:styleId="Recuodecorpodetexto22">
    <w:name w:val="Recuo de corpo de texto 22"/>
    <w:basedOn w:val="Normal"/>
    <w:pPr>
      <w:ind w:firstLine="708"/>
    </w:pPr>
  </w:style>
  <w:style w:type="paragraph" w:customStyle="1" w:styleId="Recuodecorpodetexto31">
    <w:name w:val="Recuo de corpo de texto 31"/>
    <w:basedOn w:val="Normal"/>
    <w:pPr>
      <w:ind w:firstLine="705"/>
    </w:pPr>
  </w:style>
  <w:style w:type="paragraph" w:customStyle="1" w:styleId="Corpodetexto21">
    <w:name w:val="Corpo de texto 21"/>
    <w:basedOn w:val="Normal"/>
  </w:style>
  <w:style w:type="paragraph" w:customStyle="1" w:styleId="CabealhoeRodap">
    <w:name w:val="Cabeçalho e Rodapé"/>
    <w:basedOn w:val="Normal"/>
    <w:pPr>
      <w:suppressLineNumbers/>
    </w:pPr>
  </w:style>
  <w:style w:type="paragraph" w:styleId="Cabealho">
    <w:name w:val="header"/>
    <w:basedOn w:val="Normal"/>
  </w:style>
  <w:style w:type="paragraph" w:styleId="Recuodecorpodetexto">
    <w:name w:val="Body Text Indent"/>
    <w:basedOn w:val="Normal"/>
    <w:pPr>
      <w:ind w:firstLine="1418"/>
    </w:pPr>
    <w:rPr>
      <w:rFonts w:ascii="Arial" w:hAnsi="Arial" w:cs="Arial"/>
      <w:sz w:val="26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lnea">
    <w:name w:val="Alínea"/>
    <w:basedOn w:val="Normal"/>
    <w:pPr>
      <w:tabs>
        <w:tab w:val="num" w:pos="720"/>
      </w:tabs>
      <w:spacing w:line="360" w:lineRule="auto"/>
      <w:ind w:left="0" w:right="539"/>
    </w:pPr>
    <w:rPr>
      <w:rFonts w:ascii="Arial" w:hAnsi="Arial" w:cs="Arial"/>
      <w:sz w:val="24"/>
    </w:rPr>
  </w:style>
  <w:style w:type="paragraph" w:customStyle="1" w:styleId="Pargrafo">
    <w:name w:val="Parágrafo"/>
    <w:basedOn w:val="Normal"/>
    <w:pPr>
      <w:tabs>
        <w:tab w:val="num" w:pos="720"/>
      </w:tabs>
      <w:spacing w:before="120" w:after="120" w:line="360" w:lineRule="auto"/>
      <w:ind w:left="1985" w:right="709"/>
    </w:pPr>
    <w:rPr>
      <w:rFonts w:ascii="Arial" w:hAnsi="Arial" w:cs="Arial"/>
      <w:sz w:val="24"/>
    </w:r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zh-CN"/>
    </w:rPr>
  </w:style>
  <w:style w:type="paragraph" w:customStyle="1" w:styleId="MapadoDocumento1">
    <w:name w:val="Mapa do Documento1"/>
    <w:basedOn w:val="Normal"/>
    <w:rPr>
      <w:rFonts w:ascii="Tahoma" w:hAnsi="Tahoma" w:cs="Tahoma"/>
      <w:sz w:val="16"/>
      <w:szCs w:val="16"/>
    </w:rPr>
  </w:style>
  <w:style w:type="paragraph" w:customStyle="1" w:styleId="Textoembloco1">
    <w:name w:val="Texto em bloco1"/>
    <w:basedOn w:val="Normal"/>
    <w:pPr>
      <w:ind w:left="2831" w:right="-7"/>
      <w:jc w:val="right"/>
    </w:pPr>
    <w:rPr>
      <w:rFonts w:ascii="Arial" w:hAnsi="Arial" w:cs="Arial"/>
      <w:sz w:val="28"/>
      <w:lang w:val="pt-PT"/>
    </w:rPr>
  </w:style>
  <w:style w:type="paragraph" w:customStyle="1" w:styleId="Recuodecorpodetexto21">
    <w:name w:val="Recuo de corpo de texto 21"/>
    <w:basedOn w:val="Normal"/>
    <w:pPr>
      <w:ind w:left="1065"/>
    </w:pPr>
    <w:rPr>
      <w:b/>
      <w:bCs/>
      <w:sz w:val="24"/>
      <w:szCs w:val="24"/>
    </w:rPr>
  </w:style>
  <w:style w:type="paragraph" w:customStyle="1" w:styleId="p4">
    <w:name w:val="p4"/>
    <w:basedOn w:val="Normal"/>
    <w:pPr>
      <w:widowControl w:val="0"/>
      <w:autoSpaceDE w:val="0"/>
      <w:spacing w:line="280" w:lineRule="atLeast"/>
      <w:ind w:left="1440" w:firstLine="1440"/>
    </w:pPr>
    <w:rPr>
      <w:szCs w:val="24"/>
    </w:rPr>
  </w:style>
  <w:style w:type="paragraph" w:customStyle="1" w:styleId="Textodecomentrio1">
    <w:name w:val="Texto de comentário1"/>
    <w:basedOn w:val="Normal"/>
    <w:rPr>
      <w:rFonts w:ascii="Tahoma" w:hAnsi="Tahoma" w:cs="Tahoma"/>
    </w:rPr>
  </w:style>
  <w:style w:type="paragraph" w:customStyle="1" w:styleId="Commarcadores21">
    <w:name w:val="Com marcadores 21"/>
    <w:basedOn w:val="Normal"/>
    <w:pPr>
      <w:ind w:left="993" w:hanging="1135"/>
    </w:pPr>
    <w:rPr>
      <w:rFonts w:ascii="Arial" w:hAnsi="Arial" w:cs="Arial"/>
      <w:spacing w:val="10"/>
    </w:rPr>
  </w:style>
  <w:style w:type="paragraph" w:customStyle="1" w:styleId="Corpodetexto31">
    <w:name w:val="Corpo de texto 31"/>
    <w:basedOn w:val="Normal"/>
    <w:rPr>
      <w:rFonts w:ascii="Arial" w:hAnsi="Arial" w:cs="Arial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 w:firstLine="0"/>
      <w:contextualSpacing/>
    </w:pPr>
    <w:rPr>
      <w:szCs w:val="21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extodecomentrio2">
    <w:name w:val="Texto de comentário2"/>
    <w:basedOn w:val="Normal"/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Textodecomentrio3">
    <w:name w:val="Texto de comentário3"/>
    <w:basedOn w:val="Normal"/>
  </w:style>
  <w:style w:type="paragraph" w:customStyle="1" w:styleId="Textbodyindent">
    <w:name w:val="Text body indent"/>
    <w:basedOn w:val="Normal"/>
    <w:pPr>
      <w:ind w:firstLine="1418"/>
      <w:textAlignment w:val="baseline"/>
    </w:pPr>
    <w:rPr>
      <w:color w:val="00000A"/>
      <w:kern w:val="1"/>
    </w:rPr>
  </w:style>
  <w:style w:type="paragraph" w:customStyle="1" w:styleId="Contedodoquadro">
    <w:name w:val="Conteúdo do quadro"/>
    <w:basedOn w:val="Normal"/>
  </w:style>
  <w:style w:type="paragraph" w:customStyle="1" w:styleId="Textodecomentrio4">
    <w:name w:val="Texto de comentário4"/>
    <w:basedOn w:val="Normal"/>
  </w:style>
  <w:style w:type="paragraph" w:customStyle="1" w:styleId="Textbody">
    <w:name w:val="Text body"/>
    <w:basedOn w:val="Normal"/>
    <w:pPr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Arial"/>
      <w:kern w:val="1"/>
      <w:sz w:val="24"/>
      <w:szCs w:val="24"/>
      <w:lang w:bidi="hi-IN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customStyle="1" w:styleId="Textodecomentrio5">
    <w:name w:val="Texto de comentário5"/>
    <w:basedOn w:val="Normal"/>
  </w:style>
  <w:style w:type="character" w:customStyle="1" w:styleId="TtuloChar1">
    <w:name w:val="Título Char1"/>
    <w:rPr>
      <w:rFonts w:ascii="Calibri Light" w:eastAsia="Yu Gothic Light" w:hAnsi="Calibri Light" w:cs="Times New Roman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eastAsia="zh-CN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5">
    <w:name w:val="Texto de comentário Char5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_ato2023-2026/2024/decreto/d1200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+/rgRsmX3U7T75GFCTn9Y80Tg==">CgMxLjAyCGguZ2pkZ3hzMgloLjFmb2I5dGUyDmguNXhuM2t1MWQzMDdzMgloLjMwajB6bGwyCWguM3pueXNoNzIOaC5mOTE4OHM2eWx3MmEyCmlkLjMwajB6bGw4AHIhMUdrTnRKbnd3YjdSclZ0aWV0TVBDVnN0NElQWkRWT0N0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E2A33-65E5-4203-87E9-8EBBB728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1439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Igor Ceratti</cp:lastModifiedBy>
  <cp:revision>14</cp:revision>
  <dcterms:created xsi:type="dcterms:W3CDTF">2023-11-01T11:54:00Z</dcterms:created>
  <dcterms:modified xsi:type="dcterms:W3CDTF">2024-12-09T14:19:00Z</dcterms:modified>
</cp:coreProperties>
</file>